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65" w:rsidRDefault="00C53F65" w:rsidP="00C53F65">
      <w:pPr>
        <w:jc w:val="right"/>
        <w:rPr>
          <w:sz w:val="16"/>
          <w:szCs w:val="16"/>
          <w:lang w:val="ru-RU"/>
        </w:rPr>
      </w:pPr>
      <w:r>
        <w:rPr>
          <w:noProof/>
          <w:lang w:val="ru-RU" w:eastAsia="ru-RU"/>
        </w:rPr>
        <w:drawing>
          <wp:anchor distT="0" distB="0" distL="114300" distR="114300" simplePos="0" relativeHeight="251659264" behindDoc="0" locked="0" layoutInCell="0" allowOverlap="1" wp14:anchorId="1CE597FC" wp14:editId="2F0451CD">
            <wp:simplePos x="0" y="0"/>
            <wp:positionH relativeFrom="column">
              <wp:posOffset>62230</wp:posOffset>
            </wp:positionH>
            <wp:positionV relativeFrom="page">
              <wp:posOffset>525145</wp:posOffset>
            </wp:positionV>
            <wp:extent cx="1143000" cy="558165"/>
            <wp:effectExtent l="0" t="0" r="0" b="0"/>
            <wp:wrapTight wrapText="bothSides">
              <wp:wrapPolygon edited="0">
                <wp:start x="-30" y="0"/>
                <wp:lineTo x="-30" y="20588"/>
                <wp:lineTo x="21215" y="20588"/>
                <wp:lineTo x="21215" y="0"/>
                <wp:lineTo x="-3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1143000" cy="558165"/>
                    </a:xfrm>
                    <a:prstGeom prst="rect">
                      <a:avLst/>
                    </a:prstGeom>
                  </pic:spPr>
                </pic:pic>
              </a:graphicData>
            </a:graphic>
          </wp:anchor>
        </w:drawing>
      </w:r>
      <w:r>
        <w:rPr>
          <w:sz w:val="16"/>
          <w:szCs w:val="16"/>
          <w:lang w:val="ru-RU"/>
        </w:rPr>
        <w:t>ф. 107</w:t>
      </w:r>
    </w:p>
    <w:p w:rsidR="00C53F65" w:rsidRDefault="00C53F65" w:rsidP="00C53F65">
      <w:pPr>
        <w:jc w:val="right"/>
        <w:rPr>
          <w:sz w:val="16"/>
          <w:szCs w:val="16"/>
          <w:lang w:val="ru-RU"/>
        </w:rPr>
      </w:pPr>
      <w:r>
        <w:rPr>
          <w:sz w:val="16"/>
          <w:szCs w:val="16"/>
          <w:lang w:val="ru-RU"/>
        </w:rPr>
        <w:t>Исправления не допускаются</w:t>
      </w:r>
    </w:p>
    <w:p w:rsidR="00C53F65" w:rsidRDefault="00C53F65" w:rsidP="00C53F65">
      <w:pPr>
        <w:jc w:val="center"/>
        <w:rPr>
          <w:b/>
          <w:sz w:val="36"/>
          <w:szCs w:val="36"/>
          <w:lang w:val="ru-RU"/>
        </w:rPr>
      </w:pPr>
      <w:r>
        <w:rPr>
          <w:b/>
          <w:sz w:val="36"/>
          <w:szCs w:val="36"/>
          <w:lang w:val="ru-RU"/>
        </w:rPr>
        <w:t>ОПИСЬ</w:t>
      </w:r>
    </w:p>
    <w:tbl>
      <w:tblPr>
        <w:tblW w:w="7151" w:type="dxa"/>
        <w:tblInd w:w="108" w:type="dxa"/>
        <w:tblLayout w:type="fixed"/>
        <w:tblLook w:val="01E0" w:firstRow="1" w:lastRow="1" w:firstColumn="1" w:lastColumn="1" w:noHBand="0" w:noVBand="0"/>
      </w:tblPr>
      <w:tblGrid>
        <w:gridCol w:w="7151"/>
      </w:tblGrid>
      <w:tr w:rsidR="00C53F65" w:rsidTr="00005076">
        <w:trPr>
          <w:trHeight w:val="307"/>
        </w:trPr>
        <w:tc>
          <w:tcPr>
            <w:tcW w:w="7151" w:type="dxa"/>
            <w:vAlign w:val="bottom"/>
          </w:tcPr>
          <w:p w:rsidR="00C53F65" w:rsidRDefault="00C53F65" w:rsidP="00005076">
            <w:pPr>
              <w:widowControl w:val="0"/>
              <w:rPr>
                <w:rFonts w:ascii="Arial" w:hAnsi="Arial" w:cs="Arial"/>
                <w:i/>
                <w:color w:val="3366FF"/>
                <w:sz w:val="16"/>
                <w:szCs w:val="16"/>
                <w:lang w:val="ru-RU"/>
              </w:rPr>
            </w:pPr>
            <w:proofErr w:type="spellStart"/>
            <w:r>
              <w:rPr>
                <w:rFonts w:ascii="Arial" w:hAnsi="Arial" w:cs="Arial"/>
                <w:sz w:val="16"/>
                <w:szCs w:val="16"/>
              </w:rPr>
              <w:t>Но</w:t>
            </w:r>
            <w:proofErr w:type="spellEnd"/>
            <w:r>
              <w:rPr>
                <w:rFonts w:ascii="Arial" w:hAnsi="Arial" w:cs="Arial"/>
                <w:sz w:val="16"/>
                <w:szCs w:val="16"/>
                <w:lang w:val="ru-RU"/>
              </w:rPr>
              <w:t>м</w:t>
            </w:r>
            <w:proofErr w:type="spellStart"/>
            <w:r>
              <w:rPr>
                <w:rFonts w:ascii="Arial" w:hAnsi="Arial" w:cs="Arial"/>
                <w:sz w:val="16"/>
                <w:szCs w:val="16"/>
              </w:rPr>
              <w:t>ер</w:t>
            </w:r>
            <w:proofErr w:type="spellEnd"/>
            <w:r>
              <w:rPr>
                <w:rFonts w:ascii="Arial" w:hAnsi="Arial" w:cs="Arial"/>
                <w:sz w:val="16"/>
                <w:szCs w:val="16"/>
              </w:rPr>
              <w:t xml:space="preserve"> </w:t>
            </w:r>
            <w:r>
              <w:rPr>
                <w:rFonts w:ascii="Arial" w:hAnsi="Arial" w:cs="Arial"/>
                <w:sz w:val="16"/>
                <w:szCs w:val="16"/>
                <w:lang w:val="ru-RU"/>
              </w:rPr>
              <w:t xml:space="preserve">почтового </w:t>
            </w:r>
            <w:proofErr w:type="spellStart"/>
            <w:r>
              <w:rPr>
                <w:rFonts w:ascii="Arial" w:hAnsi="Arial" w:cs="Arial"/>
                <w:sz w:val="16"/>
                <w:szCs w:val="16"/>
              </w:rPr>
              <w:t>идентификатор</w:t>
            </w:r>
            <w:proofErr w:type="spellEnd"/>
            <w:r>
              <w:rPr>
                <w:rFonts w:ascii="Arial" w:hAnsi="Arial" w:cs="Arial"/>
                <w:sz w:val="16"/>
                <w:szCs w:val="16"/>
                <w:lang w:val="ru-RU"/>
              </w:rPr>
              <w:t>а</w:t>
            </w:r>
          </w:p>
        </w:tc>
      </w:tr>
      <w:tr w:rsidR="00C53F65" w:rsidTr="00005076">
        <w:trPr>
          <w:trHeight w:val="476"/>
        </w:trPr>
        <w:tc>
          <w:tcPr>
            <w:tcW w:w="7151" w:type="dxa"/>
          </w:tcPr>
          <w:tbl>
            <w:tblPr>
              <w:tblW w:w="3976" w:type="dxa"/>
              <w:tblLayout w:type="fixed"/>
              <w:tblLook w:val="01E0" w:firstRow="1" w:lastRow="1" w:firstColumn="1" w:lastColumn="1" w:noHBand="0" w:noVBand="0"/>
            </w:tblPr>
            <w:tblGrid>
              <w:gridCol w:w="284"/>
              <w:gridCol w:w="285"/>
              <w:gridCol w:w="284"/>
              <w:gridCol w:w="283"/>
              <w:gridCol w:w="284"/>
              <w:gridCol w:w="285"/>
              <w:gridCol w:w="284"/>
              <w:gridCol w:w="283"/>
              <w:gridCol w:w="285"/>
              <w:gridCol w:w="284"/>
              <w:gridCol w:w="283"/>
              <w:gridCol w:w="284"/>
              <w:gridCol w:w="285"/>
              <w:gridCol w:w="283"/>
            </w:tblGrid>
            <w:tr w:rsidR="00C53F65" w:rsidTr="00005076">
              <w:trPr>
                <w:trHeight w:val="340"/>
              </w:trPr>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53F65" w:rsidRDefault="00C53F65" w:rsidP="00005076">
                  <w:pPr>
                    <w:widowControl w:val="0"/>
                    <w:rPr>
                      <w:rFonts w:ascii="Arial" w:hAnsi="Arial" w:cs="Arial"/>
                    </w:rPr>
                  </w:pPr>
                </w:p>
              </w:tc>
            </w:tr>
          </w:tbl>
          <w:p w:rsidR="00C53F65" w:rsidRDefault="00C53F65" w:rsidP="00005076">
            <w:pPr>
              <w:widowControl w:val="0"/>
              <w:rPr>
                <w:rFonts w:ascii="Arial" w:hAnsi="Arial" w:cs="Arial"/>
                <w:i/>
                <w:color w:val="3366FF"/>
              </w:rPr>
            </w:pPr>
          </w:p>
        </w:tc>
      </w:tr>
    </w:tbl>
    <w:p w:rsidR="00C53F65" w:rsidRDefault="00C53F65" w:rsidP="00C53F65">
      <w:pPr>
        <w:rPr>
          <w:lang w:val="ru-RU"/>
        </w:rPr>
      </w:pPr>
    </w:p>
    <w:tbl>
      <w:tblPr>
        <w:tblStyle w:val="a7"/>
        <w:tblW w:w="10915" w:type="dxa"/>
        <w:tblLayout w:type="fixed"/>
        <w:tblLook w:val="04A0" w:firstRow="1" w:lastRow="0" w:firstColumn="1" w:lastColumn="0" w:noHBand="0" w:noVBand="1"/>
      </w:tblPr>
      <w:tblGrid>
        <w:gridCol w:w="237"/>
        <w:gridCol w:w="546"/>
        <w:gridCol w:w="7572"/>
        <w:gridCol w:w="989"/>
        <w:gridCol w:w="1099"/>
        <w:gridCol w:w="176"/>
        <w:gridCol w:w="60"/>
        <w:gridCol w:w="236"/>
      </w:tblGrid>
      <w:tr w:rsidR="00C53F65" w:rsidTr="00005076">
        <w:tc>
          <w:tcPr>
            <w:tcW w:w="232" w:type="dxa"/>
            <w:tcBorders>
              <w:top w:val="nil"/>
              <w:left w:val="nil"/>
              <w:bottom w:val="nil"/>
              <w:right w:val="nil"/>
            </w:tcBorders>
          </w:tcPr>
          <w:p w:rsidR="00C53F65" w:rsidRDefault="00C53F65" w:rsidP="00005076">
            <w:pPr>
              <w:widowControl w:val="0"/>
              <w:spacing w:after="0" w:line="240" w:lineRule="auto"/>
              <w:jc w:val="center"/>
              <w:rPr>
                <w:sz w:val="16"/>
                <w:szCs w:val="16"/>
                <w:lang w:val="ru-RU"/>
              </w:rPr>
            </w:pPr>
          </w:p>
        </w:tc>
        <w:tc>
          <w:tcPr>
            <w:tcW w:w="547" w:type="dxa"/>
            <w:tcBorders>
              <w:top w:val="nil"/>
              <w:left w:val="nil"/>
              <w:bottom w:val="single" w:sz="18" w:space="0" w:color="000000"/>
              <w:right w:val="nil"/>
            </w:tcBorders>
            <w:vAlign w:val="center"/>
          </w:tcPr>
          <w:p w:rsidR="00C53F65" w:rsidRDefault="00C53F65" w:rsidP="00005076">
            <w:pPr>
              <w:widowControl w:val="0"/>
              <w:spacing w:after="0" w:line="240" w:lineRule="auto"/>
              <w:jc w:val="center"/>
              <w:rPr>
                <w:sz w:val="16"/>
                <w:szCs w:val="16"/>
                <w:lang w:val="ru-RU"/>
              </w:rPr>
            </w:pPr>
          </w:p>
        </w:tc>
        <w:tc>
          <w:tcPr>
            <w:tcW w:w="7587" w:type="dxa"/>
            <w:tcBorders>
              <w:top w:val="nil"/>
              <w:left w:val="nil"/>
              <w:bottom w:val="single" w:sz="18" w:space="0" w:color="000000"/>
              <w:right w:val="nil"/>
            </w:tcBorders>
            <w:vAlign w:val="center"/>
          </w:tcPr>
          <w:p w:rsidR="00C53F65" w:rsidRDefault="00C53F65" w:rsidP="00005076">
            <w:pPr>
              <w:widowControl w:val="0"/>
              <w:spacing w:after="0" w:line="240" w:lineRule="auto"/>
              <w:jc w:val="center"/>
              <w:rPr>
                <w:sz w:val="16"/>
                <w:szCs w:val="16"/>
                <w:lang w:val="ru-RU"/>
              </w:rPr>
            </w:pPr>
          </w:p>
        </w:tc>
        <w:tc>
          <w:tcPr>
            <w:tcW w:w="991" w:type="dxa"/>
            <w:tcBorders>
              <w:top w:val="nil"/>
              <w:left w:val="nil"/>
              <w:bottom w:val="single" w:sz="18" w:space="0" w:color="000000"/>
              <w:right w:val="nil"/>
            </w:tcBorders>
            <w:vAlign w:val="center"/>
          </w:tcPr>
          <w:p w:rsidR="00C53F65" w:rsidRDefault="00C53F65" w:rsidP="00005076">
            <w:pPr>
              <w:widowControl w:val="0"/>
              <w:spacing w:after="0" w:line="240" w:lineRule="auto"/>
              <w:jc w:val="center"/>
              <w:rPr>
                <w:sz w:val="16"/>
                <w:szCs w:val="16"/>
                <w:lang w:val="ru-RU"/>
              </w:rPr>
            </w:pPr>
          </w:p>
        </w:tc>
        <w:tc>
          <w:tcPr>
            <w:tcW w:w="1101" w:type="dxa"/>
            <w:tcBorders>
              <w:top w:val="nil"/>
              <w:left w:val="nil"/>
              <w:bottom w:val="single" w:sz="18" w:space="0" w:color="000000"/>
              <w:right w:val="nil"/>
            </w:tcBorders>
            <w:vAlign w:val="center"/>
          </w:tcPr>
          <w:p w:rsidR="00C53F65" w:rsidRDefault="00C53F65" w:rsidP="00005076">
            <w:pPr>
              <w:widowControl w:val="0"/>
              <w:spacing w:after="0" w:line="240" w:lineRule="auto"/>
              <w:jc w:val="center"/>
              <w:rPr>
                <w:sz w:val="16"/>
                <w:szCs w:val="16"/>
                <w:lang w:val="ru-RU"/>
              </w:rPr>
            </w:pPr>
          </w:p>
        </w:tc>
        <w:tc>
          <w:tcPr>
            <w:tcW w:w="236" w:type="dxa"/>
            <w:gridSpan w:val="2"/>
            <w:tcBorders>
              <w:top w:val="nil"/>
              <w:left w:val="nil"/>
              <w:bottom w:val="nil"/>
              <w:right w:val="nil"/>
            </w:tcBorders>
          </w:tcPr>
          <w:p w:rsidR="00C53F65" w:rsidRDefault="00C53F65" w:rsidP="00005076">
            <w:pPr>
              <w:widowControl w:val="0"/>
              <w:spacing w:after="0" w:line="240" w:lineRule="auto"/>
              <w:jc w:val="center"/>
              <w:rPr>
                <w:sz w:val="2"/>
                <w:szCs w:val="2"/>
                <w:lang w:val="ru-RU"/>
              </w:rPr>
            </w:pPr>
          </w:p>
        </w:tc>
        <w:tc>
          <w:tcPr>
            <w:tcW w:w="220" w:type="dxa"/>
            <w:tcBorders>
              <w:top w:val="nil"/>
              <w:left w:val="nil"/>
              <w:bottom w:val="nil"/>
              <w:right w:val="nil"/>
            </w:tcBorders>
          </w:tcPr>
          <w:p w:rsidR="00C53F65" w:rsidRDefault="00C53F65" w:rsidP="00005076">
            <w:pPr>
              <w:widowControl w:val="0"/>
              <w:spacing w:after="0" w:line="240" w:lineRule="auto"/>
              <w:rPr>
                <w:rFonts w:ascii="Calibri" w:eastAsia="Calibri" w:hAnsi="Calibri"/>
              </w:rPr>
            </w:pPr>
          </w:p>
        </w:tc>
      </w:tr>
      <w:tr w:rsidR="00C53F65" w:rsidTr="00005076">
        <w:tc>
          <w:tcPr>
            <w:tcW w:w="232" w:type="dxa"/>
            <w:tcBorders>
              <w:top w:val="nil"/>
              <w:left w:val="nil"/>
              <w:bottom w:val="nil"/>
              <w:right w:val="single" w:sz="18" w:space="0" w:color="000000"/>
            </w:tcBorders>
          </w:tcPr>
          <w:p w:rsidR="00C53F65" w:rsidRDefault="00C53F65" w:rsidP="00005076">
            <w:pPr>
              <w:widowControl w:val="0"/>
              <w:spacing w:after="0" w:line="240" w:lineRule="auto"/>
              <w:jc w:val="center"/>
              <w:rPr>
                <w:sz w:val="2"/>
                <w:szCs w:val="2"/>
                <w:lang w:val="ru-RU"/>
              </w:rPr>
            </w:pPr>
          </w:p>
        </w:tc>
        <w:tc>
          <w:tcPr>
            <w:tcW w:w="547" w:type="dxa"/>
            <w:tcBorders>
              <w:top w:val="single" w:sz="18" w:space="0" w:color="000000"/>
              <w:left w:val="single" w:sz="18" w:space="0" w:color="000000"/>
            </w:tcBorders>
            <w:vAlign w:val="center"/>
          </w:tcPr>
          <w:p w:rsidR="00C53F65" w:rsidRDefault="00C53F65" w:rsidP="00005076">
            <w:pPr>
              <w:widowControl w:val="0"/>
              <w:spacing w:after="0" w:line="240" w:lineRule="auto"/>
              <w:jc w:val="center"/>
              <w:rPr>
                <w:sz w:val="16"/>
                <w:szCs w:val="16"/>
                <w:lang w:val="ru-RU"/>
              </w:rPr>
            </w:pPr>
            <w:r>
              <w:rPr>
                <w:rFonts w:eastAsia="Calibri"/>
                <w:sz w:val="16"/>
                <w:szCs w:val="16"/>
                <w:lang w:val="ru-RU"/>
              </w:rPr>
              <w:t>№№</w:t>
            </w:r>
          </w:p>
          <w:p w:rsidR="00C53F65" w:rsidRDefault="00C53F65" w:rsidP="00005076">
            <w:pPr>
              <w:widowControl w:val="0"/>
              <w:spacing w:after="0" w:line="240" w:lineRule="auto"/>
              <w:jc w:val="center"/>
              <w:rPr>
                <w:sz w:val="16"/>
                <w:szCs w:val="16"/>
                <w:lang w:val="ru-RU"/>
              </w:rPr>
            </w:pPr>
            <w:r>
              <w:rPr>
                <w:rFonts w:eastAsia="Calibri"/>
                <w:sz w:val="16"/>
                <w:szCs w:val="16"/>
                <w:lang w:val="ru-RU"/>
              </w:rPr>
              <w:t>п/п</w:t>
            </w:r>
          </w:p>
        </w:tc>
        <w:tc>
          <w:tcPr>
            <w:tcW w:w="7587" w:type="dxa"/>
            <w:tcBorders>
              <w:top w:val="single" w:sz="18" w:space="0" w:color="000000"/>
            </w:tcBorders>
            <w:vAlign w:val="center"/>
          </w:tcPr>
          <w:p w:rsidR="00C53F65" w:rsidRDefault="00C53F65" w:rsidP="00005076">
            <w:pPr>
              <w:widowControl w:val="0"/>
              <w:spacing w:after="0" w:line="240" w:lineRule="auto"/>
              <w:jc w:val="center"/>
              <w:rPr>
                <w:sz w:val="16"/>
                <w:szCs w:val="16"/>
                <w:lang w:val="ru-RU"/>
              </w:rPr>
            </w:pPr>
            <w:r>
              <w:rPr>
                <w:rFonts w:eastAsia="Calibri"/>
                <w:sz w:val="16"/>
                <w:szCs w:val="16"/>
                <w:lang w:val="ru-RU"/>
              </w:rPr>
              <w:t>Наименование предметов</w:t>
            </w:r>
          </w:p>
        </w:tc>
        <w:tc>
          <w:tcPr>
            <w:tcW w:w="991" w:type="dxa"/>
            <w:tcBorders>
              <w:top w:val="single" w:sz="18" w:space="0" w:color="000000"/>
            </w:tcBorders>
            <w:vAlign w:val="center"/>
          </w:tcPr>
          <w:p w:rsidR="00C53F65" w:rsidRDefault="00C53F65" w:rsidP="00005076">
            <w:pPr>
              <w:widowControl w:val="0"/>
              <w:spacing w:after="0" w:line="240" w:lineRule="auto"/>
              <w:jc w:val="center"/>
              <w:rPr>
                <w:sz w:val="16"/>
                <w:szCs w:val="16"/>
                <w:lang w:val="ru-RU"/>
              </w:rPr>
            </w:pPr>
            <w:r>
              <w:rPr>
                <w:rFonts w:eastAsia="Calibri"/>
                <w:sz w:val="16"/>
                <w:szCs w:val="16"/>
                <w:lang w:val="ru-RU"/>
              </w:rPr>
              <w:t>Кол-во</w:t>
            </w:r>
          </w:p>
          <w:p w:rsidR="00C53F65" w:rsidRDefault="00C53F65" w:rsidP="00005076">
            <w:pPr>
              <w:widowControl w:val="0"/>
              <w:spacing w:after="0" w:line="240" w:lineRule="auto"/>
              <w:jc w:val="center"/>
              <w:rPr>
                <w:sz w:val="16"/>
                <w:szCs w:val="16"/>
                <w:lang w:val="ru-RU"/>
              </w:rPr>
            </w:pPr>
            <w:r>
              <w:rPr>
                <w:rFonts w:eastAsia="Calibri"/>
                <w:sz w:val="16"/>
                <w:szCs w:val="16"/>
                <w:lang w:val="ru-RU"/>
              </w:rPr>
              <w:t>предметов</w:t>
            </w:r>
          </w:p>
        </w:tc>
        <w:tc>
          <w:tcPr>
            <w:tcW w:w="1277" w:type="dxa"/>
            <w:gridSpan w:val="2"/>
            <w:tcBorders>
              <w:top w:val="single" w:sz="18" w:space="0" w:color="000000"/>
              <w:right w:val="single" w:sz="18" w:space="0" w:color="000000"/>
            </w:tcBorders>
            <w:vAlign w:val="center"/>
          </w:tcPr>
          <w:p w:rsidR="00C53F65" w:rsidRDefault="00C53F65" w:rsidP="00005076">
            <w:pPr>
              <w:widowControl w:val="0"/>
              <w:spacing w:after="0" w:line="240" w:lineRule="auto"/>
              <w:jc w:val="center"/>
              <w:rPr>
                <w:sz w:val="16"/>
                <w:szCs w:val="16"/>
                <w:lang w:val="ru-RU"/>
              </w:rPr>
            </w:pPr>
            <w:r>
              <w:rPr>
                <w:rFonts w:eastAsia="Calibri"/>
                <w:sz w:val="16"/>
                <w:szCs w:val="16"/>
                <w:lang w:val="ru-RU"/>
              </w:rPr>
              <w:t>Объявленная</w:t>
            </w:r>
          </w:p>
          <w:p w:rsidR="00C53F65" w:rsidRDefault="00C53F65" w:rsidP="00005076">
            <w:pPr>
              <w:widowControl w:val="0"/>
              <w:spacing w:after="0" w:line="240" w:lineRule="auto"/>
              <w:jc w:val="center"/>
              <w:rPr>
                <w:sz w:val="16"/>
                <w:szCs w:val="16"/>
                <w:lang w:val="ru-RU"/>
              </w:rPr>
            </w:pPr>
            <w:r>
              <w:rPr>
                <w:rFonts w:eastAsia="Calibri"/>
                <w:sz w:val="16"/>
                <w:szCs w:val="16"/>
                <w:lang w:val="ru-RU"/>
              </w:rPr>
              <w:t xml:space="preserve">ценность, </w:t>
            </w:r>
            <w:proofErr w:type="spellStart"/>
            <w:r>
              <w:rPr>
                <w:rFonts w:eastAsia="Calibri"/>
                <w:sz w:val="16"/>
                <w:szCs w:val="16"/>
                <w:lang w:val="ru-RU"/>
              </w:rPr>
              <w:t>руб</w:t>
            </w:r>
            <w:proofErr w:type="spellEnd"/>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jc w:val="center"/>
              <w:rPr>
                <w:sz w:val="2"/>
                <w:szCs w:val="2"/>
                <w:lang w:val="ru-RU"/>
              </w:rPr>
            </w:pPr>
          </w:p>
        </w:tc>
      </w:tr>
      <w:tr w:rsidR="00C53F65" w:rsidTr="00005076">
        <w:tc>
          <w:tcPr>
            <w:tcW w:w="232" w:type="dxa"/>
            <w:tcBorders>
              <w:top w:val="nil"/>
              <w:left w:val="nil"/>
              <w:bottom w:val="nil"/>
              <w:right w:val="single" w:sz="18" w:space="0" w:color="000000"/>
            </w:tcBorders>
          </w:tcPr>
          <w:p w:rsidR="00C53F65" w:rsidRDefault="00C53F65" w:rsidP="00005076">
            <w:pPr>
              <w:widowControl w:val="0"/>
              <w:spacing w:after="0" w:line="240" w:lineRule="auto"/>
              <w:rPr>
                <w:sz w:val="2"/>
                <w:szCs w:val="2"/>
                <w:lang w:val="ru-RU"/>
              </w:rPr>
            </w:pPr>
          </w:p>
        </w:tc>
        <w:tc>
          <w:tcPr>
            <w:tcW w:w="547" w:type="dxa"/>
            <w:tcBorders>
              <w:lef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1</w:t>
            </w:r>
          </w:p>
        </w:tc>
        <w:tc>
          <w:tcPr>
            <w:tcW w:w="7587" w:type="dxa"/>
            <w:vAlign w:val="center"/>
          </w:tcPr>
          <w:p w:rsidR="00C53F65" w:rsidRDefault="00C53F65" w:rsidP="00005076">
            <w:pPr>
              <w:widowControl w:val="0"/>
              <w:spacing w:after="140" w:line="360" w:lineRule="auto"/>
              <w:ind w:left="4536"/>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Главное управление Министерства юстиции</w:t>
            </w:r>
          </w:p>
          <w:p w:rsidR="00C53F65" w:rsidRDefault="00C53F65" w:rsidP="00005076">
            <w:pPr>
              <w:widowControl w:val="0"/>
              <w:spacing w:after="140" w:line="360" w:lineRule="auto"/>
              <w:ind w:left="4536"/>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Российской Федерации по Санкт-Петербургу</w:t>
            </w:r>
          </w:p>
          <w:p w:rsidR="00C53F65" w:rsidRDefault="00C53F65" w:rsidP="00005076">
            <w:pPr>
              <w:widowControl w:val="0"/>
              <w:spacing w:after="140" w:line="360" w:lineRule="auto"/>
              <w:ind w:left="4536"/>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190121, Санкт-Петербург, Исаакиевская пл., д.11</w:t>
            </w:r>
          </w:p>
          <w:p w:rsidR="00C53F65" w:rsidRDefault="00C53F65" w:rsidP="00005076">
            <w:pPr>
              <w:widowControl w:val="0"/>
              <w:spacing w:after="140" w:line="360" w:lineRule="auto"/>
              <w:ind w:left="4536"/>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заявитель </w:t>
            </w:r>
          </w:p>
          <w:p w:rsidR="00C53F65" w:rsidRDefault="00C53F65" w:rsidP="00005076">
            <w:pPr>
              <w:widowControl w:val="0"/>
              <w:spacing w:after="140" w:line="360" w:lineRule="auto"/>
              <w:ind w:firstLine="540"/>
              <w:jc w:val="center"/>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Заявление/запрос</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целях обеспечения верховенства Конституции Российской Федерации и федеральных законов в Российской Федерации, реализации конституционного права граждан на получение достоверной информации о нормативных правовых актах субъектов Российской Федерации Президентом Российской Федерации 10 августа 2000 года был издан Указ №1486 «О дополнительных мерах по обеспечению единства правового пространства Российской Федерации» (далее - Указ N 1486).</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соответствии с пунктом 1 Указа «№1486 в Российской Федерации должен быть создан федеральный банк нормативных правовых актов субъектов Российской Федерации - федеральный регистр нормативных правовых актов субъектов Российской Федерации (далее - федеральный регистр). Обязанность по ведению федерального регистра возложена Министерство юстиции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Пунктом 2 Указа «№1486 предусмотрена обязанность высших должностных лиц (руководители высших исполнительных органов государственной власти) субъектов Российской Федерации обеспечивать направление в Министерство юстиции Российской Федерации копий нормативных правовых актов субъектов Российской Федерации в 7-дневный срок после дня первого официального опубликования названных актов, а также сведений об источниках их официального опубликования для включения этих актов в федеральный регистр и проведения правовой экспертизы.</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Во исполнение пункта 6 Указа №1486, 29 ноября 2000 года Правительством Российской Федерации было издано Постановление №904 «Об утверждении Положения о порядке ведения федерального регистра нормативных правовых актов субъектов Российской Федерации» (далее Постановление №904).</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Пункт 3 Постановления №904 определяет состав данных, которые включаются в федеральный регистр: «В федеральный регистр включаются конституции (уставы), законы и иные нормативные правовые акты органов законодательной (представительной) власти субъектов Российской Федерации, нормативные правовые акты высших должностных лиц субъектов Российской Федерации (руководителей высших 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Заключения Министерства юстиции Российской Федерации по результатам правовой и антикоррупционной экспертиз указанных актов включаются в федеральный регистр в качестве дополнительных сведений».</w:t>
            </w:r>
          </w:p>
          <w:p w:rsidR="00C53F65" w:rsidRPr="00C53F65" w:rsidRDefault="00C53F65" w:rsidP="00005076">
            <w:pPr>
              <w:widowControl w:val="0"/>
              <w:spacing w:after="140" w:line="360" w:lineRule="auto"/>
              <w:ind w:firstLine="540"/>
              <w:jc w:val="both"/>
              <w:rPr>
                <w:lang w:val="ru-RU"/>
              </w:rPr>
            </w:pPr>
            <w:r>
              <w:rPr>
                <w:rFonts w:ascii="Times New Roman" w:eastAsia="Times New Roman" w:hAnsi="Times New Roman" w:cs="Times New Roman"/>
                <w:sz w:val="12"/>
                <w:szCs w:val="12"/>
                <w:lang w:val="ru-RU"/>
              </w:rPr>
              <w:t xml:space="preserve">Пунктом 8 Постановления №904 определён порядок доступа к текстам нормативных правовых актов субъектов Российской Федерации, их учётным номерам, реквизитам и сведениям об источниках их официального опубликования, содержащимся в федеральном регистре,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hyperlink r:id="rId7">
              <w:r>
                <w:rPr>
                  <w:rFonts w:ascii="Times New Roman" w:eastAsia="Times New Roman" w:hAnsi="Times New Roman" w:cs="Times New Roman"/>
                  <w:sz w:val="12"/>
                  <w:szCs w:val="12"/>
                  <w:lang w:val="ru-RU"/>
                </w:rPr>
                <w:t>http://право-минюст.рф</w:t>
              </w:r>
            </w:hyperlink>
            <w:r>
              <w:rPr>
                <w:rFonts w:ascii="Times New Roman" w:eastAsia="Times New Roman" w:hAnsi="Times New Roman" w:cs="Times New Roman"/>
                <w:sz w:val="12"/>
                <w:szCs w:val="12"/>
                <w:lang w:val="ru-RU"/>
              </w:rPr>
              <w:t>) (далее – Портал Министерства юстиции).</w:t>
            </w:r>
          </w:p>
          <w:p w:rsidR="00C53F65" w:rsidRPr="00C53F65" w:rsidRDefault="00C53F65" w:rsidP="00005076">
            <w:pPr>
              <w:widowControl w:val="0"/>
              <w:spacing w:after="140" w:line="360" w:lineRule="auto"/>
              <w:ind w:firstLine="540"/>
              <w:jc w:val="both"/>
              <w:rPr>
                <w:lang w:val="ru-RU"/>
              </w:rPr>
            </w:pPr>
            <w:r>
              <w:rPr>
                <w:rFonts w:ascii="Times New Roman" w:eastAsia="Times New Roman" w:hAnsi="Times New Roman" w:cs="Times New Roman"/>
                <w:sz w:val="12"/>
                <w:szCs w:val="12"/>
                <w:lang w:val="ru-RU"/>
              </w:rPr>
              <w:t xml:space="preserve">В целях выработки федеральными органами государственной власти в пределах их полномочий, вытекающих из пункта «а» части 1 статьи 72 Конституции Российской Федерации, совместно с органами государственной власти субъектов Российской Федерации мер по обеспечению соответствия конституций, уставов, законов и иных правовых актов субъектов Российской Федерации </w:t>
            </w:r>
            <w:hyperlink r:id="rId8">
              <w:r>
                <w:rPr>
                  <w:rFonts w:ascii="Times New Roman" w:eastAsia="Times New Roman" w:hAnsi="Times New Roman" w:cs="Times New Roman"/>
                  <w:sz w:val="12"/>
                  <w:szCs w:val="12"/>
                  <w:lang w:val="ru-RU"/>
                </w:rPr>
                <w:t>Конституции</w:t>
              </w:r>
            </w:hyperlink>
            <w:r>
              <w:rPr>
                <w:rFonts w:ascii="Times New Roman" w:eastAsia="Times New Roman" w:hAnsi="Times New Roman" w:cs="Times New Roman"/>
                <w:sz w:val="12"/>
                <w:szCs w:val="12"/>
                <w:lang w:val="ru-RU"/>
              </w:rPr>
              <w:t xml:space="preserve"> Российской Федерации и федеральным законам 03 июня 1995 года Правительством Российской Федерации было издано Постановление Российской Федерации №550 «О дополнительных функциях министерства юстиции Российской Федерации» (далее - Постановление №550).</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lastRenderedPageBreak/>
              <w:t>Пунктом 1 Постановления №550 на Министерство юстиции Российской Федерации возложена обязанность проведения правовой экспертизы правовых актов, принимаемых органами государственной власти субъектов Российской Федерации, и функции генерального заказчика межгосударственной системы правовой информатизации в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Согласно пункту 4 Постановления №550: «Правовая экспертиза проводится в срок до 30 дней с момента поступления правового акта в Министерство юстиции Российской Федерации. При необходимости этот срок может быть продлен руководством Министерства, но не более чем на месяц.</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случае несоответствия правового акта Конституции Российской Федерации или федеральному закону Министерство юстиции Российской Федерации представляет мотивированное заключение в орган государственной власти субъекта Российской Федерации, принявший акт, а также в установленном порядке в соответствующие федеральные органы государственной власти».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31 мая 2012 года приказом Министерством юстиции Российской Федерации №87 «Об утверждении методических рекомендации по проведению правовой экспертизы нормативных правовых актов субъектов Российской Федерации» были утверждены «Методические рекомендации по проведению правовой экспертизы правовых актов субъектов Российской Федерации» (далее – Методические рекомендации).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соответствии с пунктом 5 Методических рекомендаций, правовая экспертиза нормативных правовых актов, указанных в пункте 2 Указа №1486, производится территориальными органами Министерства Юстиции Российской Федерации. Этими же органами проводится повторная правовая экспертиза по запросам аппарата полномочного представителя Президента Российской Федерации в федеральном округе, органов государственной власти субъектов Российской Федерации или по собственной инициативе, а управления Минюста России по субъекту (субъектам) Российской Федерации также по поручению Главного управления Минюста России по субъекту (субъектам)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Пунктом 8 Методических рекомендаций установлено: «Правовые акты подлежат правовой экспертизе, если они носят нормативный характер. Правовая экспертиза отмененных, признанных утратившими силу правовых актов, а также правовых актов, срок действия которых истек, не проводится. При поступлении правового акта, вносящего изменение в ранее принятый правовой акт, рекомендуется проводить правовую экспертизу измененного правового акта и составлять экспертное заключение на измененный правовой акт. </w:t>
            </w:r>
            <w:r>
              <w:rPr>
                <w:rFonts w:ascii="Times New Roman" w:eastAsia="Times New Roman" w:hAnsi="Times New Roman" w:cs="Times New Roman"/>
                <w:b/>
                <w:sz w:val="12"/>
                <w:szCs w:val="12"/>
                <w:lang w:val="ru-RU"/>
              </w:rPr>
              <w:t>Если правовой акт, вносящий изменение в ранее принятый правовой акт, устанавливает новые нормы, возможно составление экспертного заключения также на акт о внесении изменений</w:t>
            </w:r>
            <w:r>
              <w:rPr>
                <w:rFonts w:ascii="Times New Roman" w:eastAsia="Times New Roman" w:hAnsi="Times New Roman" w:cs="Times New Roman"/>
                <w:sz w:val="12"/>
                <w:szCs w:val="12"/>
                <w:lang w:val="ru-RU"/>
              </w:rPr>
              <w:t>. Если в срок, установленный для проведения правовой экспертизы правового акта, в территориальный орган поступили правовые акты, вносящие в него изменения, правовая экспертиза правового акта проводится с учетом всех внесенных в него изменений.</w:t>
            </w:r>
          </w:p>
          <w:p w:rsidR="00C53F65" w:rsidRP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13 марта 2020 года Правительством Санкт-Петербурга было издано Постановление №121 «О мерах по противодействию распространению в Санкт-Петербурге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w:t>
            </w:r>
            <w:r>
              <w:rPr>
                <w:rFonts w:ascii="Times New Roman" w:eastAsia="Times New Roman" w:hAnsi="Times New Roman" w:cs="Times New Roman"/>
                <w:sz w:val="12"/>
                <w:szCs w:val="12"/>
              </w:rPr>
              <w:t>COVID</w:t>
            </w:r>
            <w:r>
              <w:rPr>
                <w:rFonts w:ascii="Times New Roman" w:eastAsia="Times New Roman" w:hAnsi="Times New Roman" w:cs="Times New Roman"/>
                <w:sz w:val="12"/>
                <w:szCs w:val="12"/>
                <w:lang w:val="ru-RU"/>
              </w:rPr>
              <w:t>-19)» (далее – Постановление №121). Согласно данным портала Министерства юстиции данный документ имеет статус соответствия законодательству: «Правовой акт на правовой экспертизе». На момент составления запроса, Правительство Санкт-Петербурга 58 раз вносило изменения в Постановление №121 путём издания новых Постановлений: от 16.03.2020 № 123; от 18.03.2020 № 127; от 24.03.2020 № 156; от 26.03.2020 № 161; от 27.03.2020 № 163; от 28.03.2020 № 164; от 30.03.2020 № 167; от 03.04.2020 № 182; от 10.04.2020 № 198; от 13.04.2020 № 202; от 29.04.2020 № 269; от 09.05.2020 № 276; от 22.05.2020 № 321; от 28.05.2020 № 348; от 03.06.2020 № 366; от 05.06.2020 № 384; от 13.06.2020 № 409; от 19.06.2020 № 436; от 25.06.2020 № 462; от 30.06.2020 № 477; от 09.07.2020 № 490; от 24.07.2020 № 563; от 06.08.2020 № 608; от 14.08.2020 № 616; от 21.08.2020 № 658; от 02.09.2020 № 681; от 18.09.2020 № 732; от 02.10.2020 № 790; от 09.10.2020 № 822; от 22.10.2020 № 863; от 05.11.2020 № 901; от 11.11.2020 № 904; от 11.11.2020 № 905; от 18.11.2020 № 935; от 02.12.2020 № 1027; от 04.12.2020 № 1038; от 24.12.2020 № 1193; от 30.12.2020 № 1256; от 14.01.2021 № 1; 22.01.2020 № 23; от 29.01.2021 № 32; от 10.02.2021 № 58; от 05.03.2021 № 105; от 24.03.2021 № 141; от 16.04.2021 № 213; от 22.04.2021 № 225; от 29.04.2021 № 252; от 21.05.2021 № 303; от 10.06.2021 № 370; от 13.06.2021 № 393; от 19.06.2021 № 406; от 08.07.2021 № 476; от 30.07.2021 № 549; от 24.08.2021 № 622; от 24.09.2021 № 708; от 18.10.2021 № 766; от 23.10.2021 № 795, от 28.10.2021 года N 820.</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Из анализа дат издания Постановлений Правительства Санкт-Петербурга, вносящих изменения в Постановление №121 следует, что территориальным органом Министерства юстиции Российской Федерации по Санкт-Петербургу - Главным управлением Министерства юстиции Российской Федерации по Санкт-Петербургу формально не было допущено нарушения сроков проведения правовой экспертизы Постановления №121, поскольку поправки в это постановление вносились до истечения срока, отведённого на проведения правовой экспертизы с учётом времени на пересылку.</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18 октября 2021 года Правительством Санкт-Петербурга было издано Постановление №766 «О внесении изменений в Постановление Правительства Санкт-Петербурга от 13.03.2020 №121» (далее – Постановление №766). Согласно данным Портала Министерства юстиции, Постановление№766 имеет статус соответствия законодательству: «Не требует правовой экспертизы».</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Постановлением №766 внесено в Постановление №121 большое количество новых норм. Данным постановлением вводятся особые виды «разрешений», при предъявлении которых возможна реализация ряда прав, которые до введения режима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 не были ничем ограничены:</w:t>
            </w:r>
          </w:p>
          <w:p w:rsidR="00C53F65" w:rsidRDefault="00C53F65" w:rsidP="00005076">
            <w:pPr>
              <w:pStyle w:val="a4"/>
              <w:widowControl w:val="0"/>
              <w:numPr>
                <w:ilvl w:val="0"/>
                <w:numId w:val="1"/>
              </w:numPr>
              <w:spacing w:beforeAutospacing="0" w:after="0" w:afterAutospacing="0" w:line="360" w:lineRule="auto"/>
              <w:jc w:val="both"/>
              <w:rPr>
                <w:sz w:val="12"/>
                <w:szCs w:val="12"/>
                <w:lang w:val="ru-RU"/>
              </w:rPr>
            </w:pPr>
            <w:r>
              <w:rPr>
                <w:sz w:val="12"/>
                <w:szCs w:val="12"/>
                <w:lang w:val="ru-RU"/>
              </w:rPr>
              <w:t>QR-код, полученный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rsidR="00C53F65" w:rsidRDefault="00C53F65" w:rsidP="00005076">
            <w:pPr>
              <w:pStyle w:val="a4"/>
              <w:widowControl w:val="0"/>
              <w:numPr>
                <w:ilvl w:val="0"/>
                <w:numId w:val="1"/>
              </w:numPr>
              <w:spacing w:beforeAutospacing="0" w:after="0" w:afterAutospacing="0" w:line="360" w:lineRule="auto"/>
              <w:jc w:val="both"/>
              <w:rPr>
                <w:sz w:val="12"/>
                <w:szCs w:val="12"/>
                <w:lang w:val="ru-RU"/>
              </w:rPr>
            </w:pPr>
            <w:r>
              <w:rPr>
                <w:sz w:val="12"/>
                <w:szCs w:val="12"/>
                <w:lang w:val="ru-RU"/>
              </w:rPr>
              <w:t>QR-код, полученный с использованием специализированного приложения Единого портала государственных и муниципальных услуг, которым подтверждается, что гражданин перенёс коронавирусную инфекцию и с даты его выздоровления прошло не более шести календарных месяцев;</w:t>
            </w:r>
          </w:p>
          <w:p w:rsidR="00C53F65" w:rsidRDefault="00C53F65" w:rsidP="00005076">
            <w:pPr>
              <w:pStyle w:val="a4"/>
              <w:widowControl w:val="0"/>
              <w:numPr>
                <w:ilvl w:val="0"/>
                <w:numId w:val="1"/>
              </w:numPr>
              <w:spacing w:beforeAutospacing="0" w:after="0" w:afterAutospacing="0" w:line="360" w:lineRule="auto"/>
              <w:jc w:val="both"/>
              <w:rPr>
                <w:sz w:val="12"/>
                <w:szCs w:val="12"/>
                <w:lang w:val="ru-RU"/>
              </w:rPr>
            </w:pPr>
            <w:r>
              <w:rPr>
                <w:sz w:val="12"/>
                <w:szCs w:val="12"/>
                <w:lang w:val="ru-RU"/>
              </w:rPr>
              <w:lastRenderedPageBreak/>
              <w:t xml:space="preserve">справка, подтверждающая наличие у гражданина медицинского отвода от вакцинации против </w:t>
            </w:r>
            <w:proofErr w:type="spellStart"/>
            <w:r>
              <w:rPr>
                <w:sz w:val="12"/>
                <w:szCs w:val="12"/>
                <w:lang w:val="ru-RU"/>
              </w:rPr>
              <w:t>коронавирусной</w:t>
            </w:r>
            <w:proofErr w:type="spellEnd"/>
            <w:r>
              <w:rPr>
                <w:sz w:val="12"/>
                <w:szCs w:val="12"/>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w:t>
            </w:r>
          </w:p>
          <w:p w:rsidR="00C53F65" w:rsidRDefault="00C53F65" w:rsidP="00005076">
            <w:pPr>
              <w:pStyle w:val="a4"/>
              <w:widowControl w:val="0"/>
              <w:numPr>
                <w:ilvl w:val="0"/>
                <w:numId w:val="1"/>
              </w:numPr>
              <w:spacing w:beforeAutospacing="0" w:after="140" w:afterAutospacing="0" w:line="360" w:lineRule="auto"/>
              <w:jc w:val="both"/>
              <w:rPr>
                <w:sz w:val="12"/>
                <w:szCs w:val="12"/>
                <w:lang w:val="ru-RU"/>
              </w:rPr>
            </w:pPr>
            <w:r>
              <w:rPr>
                <w:sz w:val="12"/>
                <w:szCs w:val="12"/>
                <w:lang w:val="ru-RU"/>
              </w:rPr>
              <w:t>документ, выданный уполномоченной медицинской организацией о получении лицом, не имеющим гражданства Российской Федерации первого и(или) второго компонентов вакцины.</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 пунктом 1.7 Постановления №766, который дополнил пункт 2.5-15 Постановления №121: «С 01.12.2021 осуществлять работу объектов розничной торговли, за исключением аптечных учреждений, объектов розничной торговли моторным топливом, заправочных электростанций для зарядки электрических транспортных средств, объектов розничной торговли, не имеющих торгового зала, а также объектов розничной торговли в части реализации исключительно непродовольственных товаров первой необходимости в соответствии с перечнем, утвержденным распоряжением Правительства Российской Федерации от 27.03.2020 № 762-р, и(или) продовольственных товаров, при условии наличия у всех посетителей, за исключением посетителей, не достигших возраста 18 лет:</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то, что они перенесли коронавирусную инфекцию и с даты их выздоровления прошло не более шести календарных месяцев;</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либо справки, подтверждающей наличие медицинского отвода от вакцинации против </w:t>
            </w:r>
            <w:proofErr w:type="spellStart"/>
            <w:r>
              <w:rPr>
                <w:sz w:val="12"/>
                <w:szCs w:val="12"/>
                <w:lang w:val="ru-RU"/>
              </w:rPr>
              <w:t>коронавирусной</w:t>
            </w:r>
            <w:proofErr w:type="spellEnd"/>
            <w:r>
              <w:rPr>
                <w:sz w:val="12"/>
                <w:szCs w:val="12"/>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отношении лиц, не имеющих гражданства Российской Федерации, получение ими первого и(или) второго компонентов вакцины или однокомпонентной вакцины подтверждается документом, выданным уполномоченной медицинской организацией».</w:t>
            </w:r>
          </w:p>
          <w:p w:rsidR="00C53F65" w:rsidRP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В законодательстве Российской Федерации, в законодательстве Санкт-Петербурга, в том числе, в Постановлении №766, нет определения понятия </w:t>
            </w:r>
            <w:r>
              <w:rPr>
                <w:sz w:val="12"/>
                <w:szCs w:val="12"/>
              </w:rPr>
              <w:t>QR</w:t>
            </w:r>
            <w:r>
              <w:rPr>
                <w:sz w:val="12"/>
                <w:szCs w:val="12"/>
                <w:lang w:val="ru-RU"/>
              </w:rPr>
              <w:t>-код.</w:t>
            </w:r>
          </w:p>
          <w:p w:rsidR="00C53F65" w:rsidRP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Постановление №766 не содержит информации о том, кто уполномочен проверять данные коды, каков механизм проверки этих кодов, какая информация зашифрована в данных кодах, является ли эта информация персональными данными, обработка которых должна осуществляться в соответствии с Федеральным законом Российской Федерации от 27 июля 2006 года №152-ФЗ «О персональных данных», как формируется пакет данных, который зашифрован в </w:t>
            </w:r>
            <w:r>
              <w:rPr>
                <w:sz w:val="12"/>
                <w:szCs w:val="12"/>
              </w:rPr>
              <w:t>QR</w:t>
            </w:r>
            <w:r>
              <w:rPr>
                <w:sz w:val="12"/>
                <w:szCs w:val="12"/>
                <w:lang w:val="ru-RU"/>
              </w:rPr>
              <w:t xml:space="preserve">-коде, какие нормативные документы регулируют сбор и обработку этих данных. Нет в данном постановлении информации о том, кто должен осуществлять финансирование мероприятий по проверке </w:t>
            </w:r>
            <w:r>
              <w:rPr>
                <w:sz w:val="12"/>
                <w:szCs w:val="12"/>
              </w:rPr>
              <w:t>QR</w:t>
            </w:r>
            <w:r>
              <w:rPr>
                <w:sz w:val="12"/>
                <w:szCs w:val="12"/>
                <w:lang w:val="ru-RU"/>
              </w:rPr>
              <w:t xml:space="preserve">-кодов. Иными словам, норм, которые регулируют правоотношения в связи с введением </w:t>
            </w:r>
            <w:r>
              <w:rPr>
                <w:sz w:val="12"/>
                <w:szCs w:val="12"/>
              </w:rPr>
              <w:t>QR</w:t>
            </w:r>
            <w:r>
              <w:rPr>
                <w:sz w:val="12"/>
                <w:szCs w:val="12"/>
                <w:lang w:val="ru-RU"/>
              </w:rPr>
              <w:t>-кодов, либо ссылок на нормы федерального законодательства, регулирующих подобные правоотношения, в Постановление №766 нет.</w:t>
            </w:r>
          </w:p>
          <w:p w:rsidR="00C53F65" w:rsidRP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Исходя из текста Постановления №766 следует, что </w:t>
            </w:r>
            <w:r>
              <w:rPr>
                <w:sz w:val="12"/>
                <w:szCs w:val="12"/>
              </w:rPr>
              <w:t>QR</w:t>
            </w:r>
            <w:r>
              <w:rPr>
                <w:sz w:val="12"/>
                <w:szCs w:val="12"/>
                <w:lang w:val="ru-RU"/>
              </w:rPr>
              <w:t>-код может быть получен с помощью специализированного приложения Единого портала государственных и муниципальных услуг. Однако реквизитов данного портала и приложения в Постановлении №766 нет.</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С другой стороны, из текста Постановления №766 следует, что наличие QR-кода подтверждает один из двух фактов:</w:t>
            </w:r>
          </w:p>
          <w:p w:rsidR="00C53F65" w:rsidRDefault="00C53F65" w:rsidP="00005076">
            <w:pPr>
              <w:pStyle w:val="a4"/>
              <w:widowControl w:val="0"/>
              <w:numPr>
                <w:ilvl w:val="0"/>
                <w:numId w:val="2"/>
              </w:numPr>
              <w:spacing w:beforeAutospacing="0" w:after="0" w:afterAutospacing="0" w:line="360" w:lineRule="auto"/>
              <w:jc w:val="both"/>
              <w:rPr>
                <w:sz w:val="12"/>
                <w:szCs w:val="12"/>
                <w:lang w:val="ru-RU"/>
              </w:rPr>
            </w:pPr>
            <w:r>
              <w:rPr>
                <w:sz w:val="12"/>
                <w:szCs w:val="12"/>
                <w:lang w:val="ru-RU"/>
              </w:rPr>
              <w:t>гражданин получил второй компонент вакцины или однокомпонентной вакцины;</w:t>
            </w:r>
          </w:p>
          <w:p w:rsidR="00C53F65" w:rsidRDefault="00C53F65" w:rsidP="00005076">
            <w:pPr>
              <w:pStyle w:val="a4"/>
              <w:widowControl w:val="0"/>
              <w:numPr>
                <w:ilvl w:val="0"/>
                <w:numId w:val="2"/>
              </w:numPr>
              <w:spacing w:beforeAutospacing="0" w:after="140" w:afterAutospacing="0" w:line="360" w:lineRule="auto"/>
              <w:jc w:val="both"/>
              <w:rPr>
                <w:sz w:val="12"/>
                <w:szCs w:val="12"/>
                <w:lang w:val="ru-RU"/>
              </w:rPr>
            </w:pPr>
            <w:r>
              <w:rPr>
                <w:sz w:val="12"/>
                <w:szCs w:val="12"/>
                <w:lang w:val="ru-RU"/>
              </w:rPr>
              <w:t>гражданин перенёс коронавирусную инфекцию и с даты его выздоровления прошло не более шести календарных месяцев.</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 пунктом 3 статьи 2 Федерального закона Российской Федерации от 21 ноября 2011 года №323-ФЗ «Об основах охраны здоровья граждан в Российской Федерации» (далее – Федеральный закон №323):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 пунктом 1 статьи 2 Федерального закона №323: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со статьёй 1 Федерального Закона Российской Федерации 17 сентября 1998 года №157-ФЗ «Об иммунопрофилактике инфекционных болезней» (далее – Федеральный закон №157):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b/>
                <w:sz w:val="12"/>
                <w:szCs w:val="12"/>
                <w:lang w:val="ru-RU"/>
              </w:rPr>
              <w:t>Поскольку целью профилактической прививки является создания специфической невосприимчивости к инфекционному заболеванию, данное мероприятие, направлено на поддержание здоровья человека, поэтому профилактическая прививка является медицинской помощью</w:t>
            </w:r>
            <w:r>
              <w:rPr>
                <w:sz w:val="12"/>
                <w:szCs w:val="12"/>
                <w:lang w:val="ru-RU"/>
              </w:rPr>
              <w:t>.</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 пунктом 4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12"/>
                <w:szCs w:val="12"/>
                <w:lang w:val="ru-RU"/>
              </w:rPr>
              <w:t>Сколково</w:t>
            </w:r>
            <w:proofErr w:type="spellEnd"/>
            <w:r>
              <w:rPr>
                <w:sz w:val="12"/>
                <w:szCs w:val="12"/>
                <w:lang w:val="ru-RU"/>
              </w:rPr>
              <w:t>»), утверждённого Постановлением Правительства Российской Федерации от 01 июня 2021 года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12"/>
                <w:szCs w:val="12"/>
                <w:lang w:val="ru-RU"/>
              </w:rPr>
              <w:t>Сколково</w:t>
            </w:r>
            <w:proofErr w:type="spellEnd"/>
            <w:r>
              <w:rPr>
                <w:sz w:val="12"/>
                <w:szCs w:val="12"/>
                <w:lang w:val="ru-RU"/>
              </w:rPr>
              <w:t xml:space="preserve">») и признании утратившими силу некоторых актов правительства Российской Федерации (далее - Постановление №852) и приложением «Перечень работ (услуг), составляющих медицинскую деятельность» к данному Положению, </w:t>
            </w:r>
            <w:r>
              <w:rPr>
                <w:b/>
                <w:sz w:val="12"/>
                <w:szCs w:val="12"/>
                <w:lang w:val="ru-RU"/>
              </w:rPr>
              <w:t xml:space="preserve">под вакцинацией понимается </w:t>
            </w:r>
            <w:r>
              <w:rPr>
                <w:b/>
                <w:sz w:val="12"/>
                <w:szCs w:val="12"/>
                <w:lang w:val="ru-RU"/>
              </w:rPr>
              <w:lastRenderedPageBreak/>
              <w:t>проведение профилактических прививок</w:t>
            </w:r>
            <w:r>
              <w:rPr>
                <w:sz w:val="12"/>
                <w:szCs w:val="12"/>
                <w:lang w:val="ru-RU"/>
              </w:rPr>
              <w:t>. Эта деятельность относится к медицинской.</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В соответствии с частью 1 статьи 13 Федерального закона №323: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Согласно правовой позиции, сформулированной Конституционным Судом Российской Федерации в пункте 2.1 Определения №540-О от 26 марта 2020 года «Об отказе в принятии к рассмотрению жалобы гражданки Федосеевой Риммы Леонидовны на нарушение её конституционных прав частью 1 статьи 13 Федерального закона «Об основах охраны здоровья граждан в Российской Федерации»: «В соответствии с Конституцией Российской Федерации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(статья 23, часть 1; статья 24, часть 1). Вследствие указанных предписаний Конституции Российской Федерации конфиденциальным характером обладает любая информация о частной жизни лица, а потому она во всяком случае относится к сведениям ограниченного доступа».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Согласно правовой позиции, сформулированной Конституционным Судом Российской Федерации в пункте 2 Постановления №1-П от 13 января 2020 года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Pr>
                <w:rFonts w:ascii="Times New Roman" w:eastAsia="Times New Roman" w:hAnsi="Times New Roman" w:cs="Times New Roman"/>
                <w:sz w:val="12"/>
                <w:szCs w:val="12"/>
                <w:lang w:val="ru-RU"/>
              </w:rPr>
              <w:t>Свечниковой</w:t>
            </w:r>
            <w:proofErr w:type="spellEnd"/>
            <w:r>
              <w:rPr>
                <w:rFonts w:ascii="Times New Roman" w:eastAsia="Times New Roman" w:hAnsi="Times New Roman" w:cs="Times New Roman"/>
                <w:sz w:val="12"/>
                <w:szCs w:val="12"/>
                <w:lang w:val="ru-RU"/>
              </w:rPr>
              <w:t xml:space="preserve">»: «…Признание права на неприкосновенность частной жизни на конституционном уровне предполагает, что отношения, возникающие в сфере частной жизни, не могут быть подвергнуты интенсивному правовому регулированию и необоснованному вмешательству любых субъектов, которым сам гражданин доступ к указанной сфере не предоставил. Право на неприкосновенность частной жизни означает и гарантированную государством возможность контролировать информацию о самом себе, препятствовать разглашению сведений личного, интимного характера.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обществом и государством, если она носит </w:t>
            </w:r>
            <w:proofErr w:type="spellStart"/>
            <w:r>
              <w:rPr>
                <w:rFonts w:ascii="Times New Roman" w:eastAsia="Times New Roman" w:hAnsi="Times New Roman" w:cs="Times New Roman"/>
                <w:sz w:val="12"/>
                <w:szCs w:val="12"/>
                <w:lang w:val="ru-RU"/>
              </w:rPr>
              <w:t>непротивоправный</w:t>
            </w:r>
            <w:proofErr w:type="spellEnd"/>
            <w:r>
              <w:rPr>
                <w:rFonts w:ascii="Times New Roman" w:eastAsia="Times New Roman" w:hAnsi="Times New Roman" w:cs="Times New Roman"/>
                <w:sz w:val="12"/>
                <w:szCs w:val="12"/>
                <w:lang w:val="ru-RU"/>
              </w:rPr>
              <w:t xml:space="preserve"> характер. Законодатель обязан обеспечить уважительное отношение со стороны любых третьих лиц к волеизъявлению лица по вопросам, касающимся частной жизни, гарантируя его учет в том числе после смерти данного лица (определения Конституционного Суда Российской Федерации от 9 июня 2005 года N 248-О, от 26 января 2010 года N 158-О-О, от 10 февраля 2016 года N 224-О и др.)…»</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Исходя из сути положений части 1 статьи 23, части 1; статьи 24 Конституции Российской Федерации, правовой позиции Конституционного Суда Российской Федерации в приведённых Определении и Постановлении, приведённых положений Федерального Закона №323 следует, что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то есть сведения, составляющие врачебную тайну, относятся к частной жизни гражданина, касаются только его. Никто не может потребовать от гражданина их раскрытия.</w:t>
            </w:r>
          </w:p>
          <w:p w:rsidR="00C53F65" w:rsidRP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Таким образом, требования Постановления №766 о предъявлении гражданином </w:t>
            </w:r>
            <w:r>
              <w:rPr>
                <w:sz w:val="12"/>
                <w:szCs w:val="12"/>
              </w:rPr>
              <w:t>QR</w:t>
            </w:r>
            <w:r>
              <w:rPr>
                <w:sz w:val="12"/>
                <w:szCs w:val="12"/>
                <w:lang w:val="ru-RU"/>
              </w:rPr>
              <w:t xml:space="preserve">-кода в подтверждение получения им второго компонента вакцины или однокомпонентной вакцины, либо в подтверждение перенесённой им </w:t>
            </w:r>
            <w:proofErr w:type="spellStart"/>
            <w:r>
              <w:rPr>
                <w:sz w:val="12"/>
                <w:szCs w:val="12"/>
                <w:lang w:val="ru-RU"/>
              </w:rPr>
              <w:t>коронавирусной</w:t>
            </w:r>
            <w:proofErr w:type="spellEnd"/>
            <w:r>
              <w:rPr>
                <w:sz w:val="12"/>
                <w:szCs w:val="12"/>
                <w:lang w:val="ru-RU"/>
              </w:rPr>
              <w:t xml:space="preserve"> инфекции нарушают закреплённое частью 1 статьи 23 Конституции Российской Федерации его право на неприкосновенность частной жизни. Данные требования ставят возможность посещения гражданином объектов розничной торговли (которые не попали в список исключений) в зависимость от раскрытия им информации о его обращении за медицинской помощью, о состоянии его здоровья, о перенесённом заболевании, о его диагнозе. То есть требуют раскрыть информацию, имеющую отношение к его частной жизни.</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Требование предъявления справки, подтверждающей наличие медицинского отвода от вакцинации против </w:t>
            </w:r>
            <w:proofErr w:type="spellStart"/>
            <w:r>
              <w:rPr>
                <w:sz w:val="12"/>
                <w:szCs w:val="12"/>
                <w:lang w:val="ru-RU"/>
              </w:rPr>
              <w:t>коронавирусной</w:t>
            </w:r>
            <w:proofErr w:type="spellEnd"/>
            <w:r>
              <w:rPr>
                <w:sz w:val="12"/>
                <w:szCs w:val="12"/>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 также является незаконным, также нарушает закреплённое частью 1 статьи 23 Конституции Российской Федерации право человека на тайну частной жизни.</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Пунктом 1.17 Постановления №766 Постановление №121 дополняется пунктом 2-59 следующего содержания: «2-59. Установить, что с 15.11.2021 на территории Санкт-Петербурга осуществление организациями (индивидуальными предпринимателями) деятельности в сферах, предусмотренных в пункте 1.1 постановления Главного государственного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sz w:val="12"/>
                <w:szCs w:val="12"/>
                <w:lang w:val="ru-RU"/>
              </w:rPr>
              <w:t>коронавирусной</w:t>
            </w:r>
            <w:proofErr w:type="spellEnd"/>
            <w:r>
              <w:rPr>
                <w:sz w:val="12"/>
                <w:szCs w:val="12"/>
                <w:lang w:val="ru-RU"/>
              </w:rPr>
              <w:t xml:space="preserve"> инфекции отдельным группам граждан по эпидемическим показаниям» (далее - постановление Главного государственного санитарного врача по городу Санкт-Петербургу), допускается при условии соблюдения указанными организациями (индивидуальными предпринимателями) требований, установленных в пункте 2 постановления Главного государственного санитарного врача по городу Санкт-Петербургу».</w:t>
            </w:r>
          </w:p>
          <w:p w:rsidR="00C53F65" w:rsidRDefault="00C53F65" w:rsidP="00005076">
            <w:pPr>
              <w:pStyle w:val="a4"/>
              <w:widowControl w:val="0"/>
              <w:spacing w:beforeAutospacing="0" w:after="140" w:afterAutospacing="0" w:line="360" w:lineRule="auto"/>
              <w:ind w:firstLine="709"/>
              <w:jc w:val="both"/>
              <w:rPr>
                <w:sz w:val="12"/>
                <w:szCs w:val="12"/>
                <w:lang w:val="ru-RU"/>
              </w:rPr>
            </w:pPr>
            <w:r>
              <w:rPr>
                <w:sz w:val="12"/>
                <w:szCs w:val="12"/>
                <w:lang w:val="ru-RU"/>
              </w:rPr>
              <w:t xml:space="preserve">Постановление Главного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sz w:val="12"/>
                <w:szCs w:val="12"/>
                <w:lang w:val="ru-RU"/>
              </w:rPr>
              <w:t>коронавирусной</w:t>
            </w:r>
            <w:proofErr w:type="spellEnd"/>
            <w:r>
              <w:rPr>
                <w:sz w:val="12"/>
                <w:szCs w:val="12"/>
                <w:lang w:val="ru-RU"/>
              </w:rPr>
              <w:t xml:space="preserve"> инфекции отдельным группам граждан по эпидемическим показаниям» (далее – Постановление Главного санитарного врача по городу Санкт-Петербургу №3 от 12 октября 2021 года) опубликовано на официальном ресурсе Федеральной службы по надзору в сфере защиты прав потребителей и благополучия человека (далее - </w:t>
            </w:r>
            <w:proofErr w:type="spellStart"/>
            <w:r>
              <w:rPr>
                <w:sz w:val="12"/>
                <w:szCs w:val="12"/>
                <w:lang w:val="ru-RU"/>
              </w:rPr>
              <w:t>Роспотребнадзор</w:t>
            </w:r>
            <w:proofErr w:type="spellEnd"/>
            <w:r>
              <w:rPr>
                <w:sz w:val="12"/>
                <w:szCs w:val="12"/>
                <w:lang w:val="ru-RU"/>
              </w:rPr>
              <w:t>) по городу Санкт-Петербургу в информационно-телекоммуникационной сети «Интернет» по адресу: http://78.rospotrebnadzor.ru/c/document_library/get_file?uuid=90e5b892-321a-45a8-b768-abbdbfbad1a8&amp;groupId=935484</w:t>
            </w:r>
          </w:p>
          <w:p w:rsidR="00C53F65" w:rsidRP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В соответствии с пунктом 3.3 инструкции «Инструкция по делопроизводству Федеральной службы по надзору в сфере защиты прав потребителей и благополучия человека (далее – Инструкция по делопроизводству), утверждённой приказом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от 24 декабря 2020 года N 867 «Об утверждении инструкции по делопроизводству» документы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на бумажном носителе изготавливаются на бланках изготовленных на бумаге формата </w:t>
            </w:r>
            <w:r>
              <w:rPr>
                <w:rFonts w:ascii="Times New Roman" w:eastAsia="Times New Roman" w:hAnsi="Times New Roman" w:cs="Times New Roman"/>
                <w:sz w:val="12"/>
                <w:szCs w:val="12"/>
              </w:rPr>
              <w:t>A</w:t>
            </w:r>
            <w:r>
              <w:rPr>
                <w:rFonts w:ascii="Times New Roman" w:eastAsia="Times New Roman" w:hAnsi="Times New Roman" w:cs="Times New Roman"/>
                <w:sz w:val="12"/>
                <w:szCs w:val="12"/>
                <w:lang w:val="ru-RU"/>
              </w:rPr>
              <w:t xml:space="preserve">4 (210 </w:t>
            </w:r>
            <w:r>
              <w:rPr>
                <w:rFonts w:ascii="Times New Roman" w:eastAsia="Times New Roman" w:hAnsi="Times New Roman" w:cs="Times New Roman"/>
                <w:sz w:val="12"/>
                <w:szCs w:val="12"/>
              </w:rPr>
              <w:t>x</w:t>
            </w:r>
            <w:r>
              <w:rPr>
                <w:rFonts w:ascii="Times New Roman" w:eastAsia="Times New Roman" w:hAnsi="Times New Roman" w:cs="Times New Roman"/>
                <w:sz w:val="12"/>
                <w:szCs w:val="12"/>
                <w:lang w:val="ru-RU"/>
              </w:rPr>
              <w:t xml:space="preserve"> 297 мм), электронные документы - на основе электронных шаблонов и имеют установленный состав обязательных реквизитов и порядок их расположения. На бланках документов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изображается Государственный герб Российской Федерации в одноцветном варианте на геральдическом щите, изображение щита помещается на верхнем </w:t>
            </w:r>
            <w:r>
              <w:rPr>
                <w:rFonts w:ascii="Times New Roman" w:eastAsia="Times New Roman" w:hAnsi="Times New Roman" w:cs="Times New Roman"/>
                <w:sz w:val="12"/>
                <w:szCs w:val="12"/>
                <w:lang w:val="ru-RU"/>
              </w:rPr>
              <w:lastRenderedPageBreak/>
              <w:t>поле бланка документа по середине зоны, занятой реквизитом «Наименование федерального органа исполнительной власти».</w:t>
            </w:r>
          </w:p>
          <w:p w:rsidR="00C53F65" w:rsidRDefault="00C53F65" w:rsidP="00005076">
            <w:pPr>
              <w:widowControl w:val="0"/>
              <w:spacing w:after="140" w:line="24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Для изготовления документов в </w:t>
            </w:r>
            <w:proofErr w:type="spellStart"/>
            <w:r>
              <w:rPr>
                <w:rFonts w:ascii="Times New Roman" w:eastAsia="Times New Roman" w:hAnsi="Times New Roman" w:cs="Times New Roman"/>
                <w:sz w:val="12"/>
                <w:szCs w:val="12"/>
                <w:lang w:val="ru-RU"/>
              </w:rPr>
              <w:t>Роспотребнадзоре</w:t>
            </w:r>
            <w:proofErr w:type="spellEnd"/>
            <w:r>
              <w:rPr>
                <w:rFonts w:ascii="Times New Roman" w:eastAsia="Times New Roman" w:hAnsi="Times New Roman" w:cs="Times New Roman"/>
                <w:sz w:val="12"/>
                <w:szCs w:val="12"/>
                <w:lang w:val="ru-RU"/>
              </w:rPr>
              <w:t xml:space="preserve"> используются:</w:t>
            </w:r>
          </w:p>
          <w:p w:rsidR="00C53F65" w:rsidRDefault="00C53F65" w:rsidP="00005076">
            <w:pPr>
              <w:widowControl w:val="0"/>
              <w:spacing w:after="140" w:line="24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общий бланк (приложение N 1 к Инструкция по делопроизводству);</w:t>
            </w:r>
          </w:p>
          <w:p w:rsidR="00C53F65" w:rsidRDefault="00C53F65" w:rsidP="00005076">
            <w:pPr>
              <w:widowControl w:val="0"/>
              <w:spacing w:after="140" w:line="24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угловой бланк письма (приложение N 2 к Инструкция по делопроизводству);</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бланк приказа (приложение N 3 к Инструкция по делопроизводству);</w:t>
            </w:r>
          </w:p>
          <w:p w:rsidR="00C53F65" w:rsidRPr="00C53F65" w:rsidRDefault="00C53F65" w:rsidP="00005076">
            <w:pPr>
              <w:widowControl w:val="0"/>
              <w:spacing w:after="140" w:line="360" w:lineRule="auto"/>
              <w:ind w:firstLine="540"/>
              <w:jc w:val="both"/>
              <w:rPr>
                <w:lang w:val="ru-RU"/>
              </w:rPr>
            </w:pPr>
            <w:r>
              <w:rPr>
                <w:rFonts w:ascii="Times New Roman" w:eastAsia="Times New Roman" w:hAnsi="Times New Roman" w:cs="Times New Roman"/>
                <w:sz w:val="12"/>
                <w:szCs w:val="12"/>
                <w:lang w:val="ru-RU"/>
              </w:rPr>
              <w:t xml:space="preserve">- бланк постановления Главного государственного санитарного врача Российской Федерации </w:t>
            </w:r>
            <w:hyperlink r:id="rId9">
              <w:r>
                <w:rPr>
                  <w:rFonts w:ascii="Times New Roman" w:eastAsia="Times New Roman" w:hAnsi="Times New Roman" w:cs="Times New Roman"/>
                  <w:sz w:val="12"/>
                  <w:szCs w:val="12"/>
                  <w:lang w:val="ru-RU"/>
                </w:rPr>
                <w:t>(приложение N 4 к Инструкция по делопроизводству)</w:t>
              </w:r>
            </w:hyperlink>
            <w:r>
              <w:rPr>
                <w:rFonts w:ascii="Times New Roman" w:eastAsia="Times New Roman" w:hAnsi="Times New Roman" w:cs="Times New Roman"/>
                <w:sz w:val="12"/>
                <w:szCs w:val="12"/>
                <w:lang w:val="ru-RU"/>
              </w:rPr>
              <w:t>;</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бланк служебного письма зарубежным адресатам (приложение N 5 к Инструкция по делопроизводству).</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Общий бланк используют для изготовления любых видов документов, кроме письма.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При изготовлении бланков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на бланках постановлений указываются следующие реквизиты:</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Государственный герб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наименование федерального органа исполнительной власти - Федеральная служба по надзору в сфере защиты прав потребителей и благополучия человека (</w:t>
            </w:r>
            <w:proofErr w:type="spellStart"/>
            <w:r>
              <w:rPr>
                <w:rFonts w:ascii="Times New Roman" w:eastAsia="Times New Roman" w:hAnsi="Times New Roman" w:cs="Times New Roman"/>
                <w:sz w:val="12"/>
                <w:szCs w:val="12"/>
                <w:lang w:val="ru-RU"/>
              </w:rPr>
              <w:t>Роспотребнадзор</w:t>
            </w:r>
            <w:proofErr w:type="spellEnd"/>
            <w:r>
              <w:rPr>
                <w:rFonts w:ascii="Times New Roman" w:eastAsia="Times New Roman" w:hAnsi="Times New Roman" w:cs="Times New Roman"/>
                <w:sz w:val="12"/>
                <w:szCs w:val="12"/>
                <w:lang w:val="ru-RU"/>
              </w:rPr>
              <w:t>) (полное и сокращенное);</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вид документа;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место составления (издания) документа;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отметки для проставления даты и регистрационного номера.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При изготовлении документов на двух и более страницах вторую и последующие страницы нумеруют. Номера страниц проставляют в центре верхнего поля листа.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Электронные шаблоны бланков документов должны быть идентичны бланкам документов на бумажном носителе.</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Изготавливать бланки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с воспроизведением Государственного герба Российской Федерации может только организация, осуществляющая полиграфическую деятельность, имеющая лицензию на соответствующий вид деятельности и сертификаты о наличии технических и технологических возможностей для изготовления указанного вида продукции на должном качественном уровне. При изготовлении бланков производится их </w:t>
            </w:r>
            <w:proofErr w:type="spellStart"/>
            <w:r>
              <w:rPr>
                <w:rFonts w:ascii="Times New Roman" w:eastAsia="Times New Roman" w:hAnsi="Times New Roman" w:cs="Times New Roman"/>
                <w:sz w:val="12"/>
                <w:szCs w:val="12"/>
                <w:lang w:val="ru-RU"/>
              </w:rPr>
              <w:t>поэкземплярная</w:t>
            </w:r>
            <w:proofErr w:type="spellEnd"/>
            <w:r>
              <w:rPr>
                <w:rFonts w:ascii="Times New Roman" w:eastAsia="Times New Roman" w:hAnsi="Times New Roman" w:cs="Times New Roman"/>
                <w:sz w:val="12"/>
                <w:szCs w:val="12"/>
                <w:lang w:val="ru-RU"/>
              </w:rPr>
              <w:t xml:space="preserve"> нумерация на оборотной стороне листа.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Использование копий бланков с изображением Государственного герба Российской Федерации и бланков произвольной формы не допускается, такие бланки </w:t>
            </w:r>
            <w:r>
              <w:rPr>
                <w:rFonts w:ascii="Times New Roman" w:eastAsia="Times New Roman" w:hAnsi="Times New Roman" w:cs="Times New Roman"/>
                <w:b/>
                <w:sz w:val="12"/>
                <w:szCs w:val="12"/>
                <w:lang w:val="ru-RU"/>
              </w:rPr>
              <w:t>юридической силы не имеют</w:t>
            </w:r>
            <w:r>
              <w:rPr>
                <w:rFonts w:ascii="Times New Roman" w:eastAsia="Times New Roman" w:hAnsi="Times New Roman" w:cs="Times New Roman"/>
                <w:sz w:val="12"/>
                <w:szCs w:val="12"/>
                <w:lang w:val="ru-RU"/>
              </w:rPr>
              <w:t>.</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Кодексом Российской Федерации об административных правонарушениях установлена ответственность за нарушение правил изготовления, использования, хранения или уничтожения бланков, печатей с воспроизведением Государственного герба Российской Федерации (ст. 19.11 Кодекса Российской Федерации об административных правонарушениях).</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В соответствии с пунктом 3.5.17 Инструкции по делопроизводству, подпись должностного лица включает в себя: наименование должности лица, подписывающего документ, его собственноручную подпись, инициалы, фамилию. Данный пункт полностью повторяет требования, зафиксированные в пункте 5.22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(утверждён Приказом </w:t>
            </w:r>
            <w:proofErr w:type="spellStart"/>
            <w:r>
              <w:rPr>
                <w:rFonts w:ascii="Times New Roman" w:eastAsia="Times New Roman" w:hAnsi="Times New Roman" w:cs="Times New Roman"/>
                <w:sz w:val="12"/>
                <w:szCs w:val="12"/>
                <w:lang w:val="ru-RU"/>
              </w:rPr>
              <w:t>Росстандарта</w:t>
            </w:r>
            <w:proofErr w:type="spellEnd"/>
            <w:r>
              <w:rPr>
                <w:rFonts w:ascii="Times New Roman" w:eastAsia="Times New Roman" w:hAnsi="Times New Roman" w:cs="Times New Roman"/>
                <w:sz w:val="12"/>
                <w:szCs w:val="12"/>
                <w:lang w:val="ru-RU"/>
              </w:rPr>
              <w:t xml:space="preserve"> от 08 декабря 2016 года N 2004-ст) (далее ГОСТ </w:t>
            </w:r>
            <w:proofErr w:type="spellStart"/>
            <w:r>
              <w:rPr>
                <w:rFonts w:ascii="Times New Roman" w:eastAsia="Times New Roman" w:hAnsi="Times New Roman" w:cs="Times New Roman"/>
                <w:sz w:val="12"/>
                <w:szCs w:val="12"/>
                <w:lang w:val="ru-RU"/>
              </w:rPr>
              <w:t>ГОСТ</w:t>
            </w:r>
            <w:proofErr w:type="spellEnd"/>
            <w:r>
              <w:rPr>
                <w:rFonts w:ascii="Times New Roman" w:eastAsia="Times New Roman" w:hAnsi="Times New Roman" w:cs="Times New Roman"/>
                <w:sz w:val="12"/>
                <w:szCs w:val="12"/>
                <w:lang w:val="ru-RU"/>
              </w:rPr>
              <w:t xml:space="preserve"> Р 7.0.97-2016).</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Запрещается использовать воспроизведение графического оригинала подписи должностного лица (факсимиле) при подписании официальных документов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Постановление Главного санитарного врача по городу Санкт-Петербургу №3 от 12 октября 2021 года изготовлено на бланке с воспроизведением Государственного герба Российской Федерации в многоцветном варианте, что является нарушением статьи 3 Федеральным конституционным законом Российской Федерации №2-ФКЗ от 25 декабря 2000 года (далее - Федеральным конституционным законом Российской Федерации №2-ФКЗ) «О Государственном гербе Российской Федерации», в соответствии с которой: «Государственный герб Российской Федерации в многоцветном варианте помещается на бланках:</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федеральных конституционных законов и федеральных законов;</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указов и распоряжений Президента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постановлений Совета Федерации Федерального Собрания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постановлений Государственной Думы Федерального Собрания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постановлений и распоряжений Правительства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решений Конституционного Суда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lastRenderedPageBreak/>
              <w:t>решений Верховного Суда Российской Федерации;</w:t>
            </w:r>
          </w:p>
          <w:p w:rsidR="00C53F65" w:rsidRPr="00C53F65" w:rsidRDefault="00C53F65" w:rsidP="00005076">
            <w:pPr>
              <w:widowControl w:val="0"/>
              <w:spacing w:after="140" w:line="360" w:lineRule="auto"/>
              <w:ind w:firstLine="540"/>
              <w:jc w:val="both"/>
              <w:rPr>
                <w:lang w:val="ru-RU"/>
              </w:rPr>
            </w:pPr>
            <w:r>
              <w:rPr>
                <w:rFonts w:ascii="Times New Roman" w:eastAsia="Times New Roman" w:hAnsi="Times New Roman" w:cs="Times New Roman"/>
                <w:sz w:val="12"/>
                <w:szCs w:val="12"/>
                <w:lang w:val="ru-RU"/>
              </w:rPr>
              <w:t xml:space="preserve">абзац утратил силу. - Федеральный конституционный </w:t>
            </w:r>
            <w:hyperlink r:id="rId10">
              <w:r>
                <w:rPr>
                  <w:rFonts w:ascii="Times New Roman" w:eastAsia="Times New Roman" w:hAnsi="Times New Roman" w:cs="Times New Roman"/>
                  <w:sz w:val="12"/>
                  <w:szCs w:val="12"/>
                  <w:lang w:val="ru-RU"/>
                </w:rPr>
                <w:t>закон</w:t>
              </w:r>
            </w:hyperlink>
            <w:r>
              <w:rPr>
                <w:rFonts w:ascii="Times New Roman" w:eastAsia="Times New Roman" w:hAnsi="Times New Roman" w:cs="Times New Roman"/>
                <w:sz w:val="12"/>
                <w:szCs w:val="12"/>
                <w:lang w:val="ru-RU"/>
              </w:rPr>
              <w:t xml:space="preserve"> от 12.03.2014 N 5-ФКЗ;</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Президента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Совета Федерации Федерального Собрания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Государственной Думы Федерального Собрания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Правительства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Конституционного Суда Российской Федерации;</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Верховного Суда Российской Федерации…»</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На данном постановлении отсутствует обязательный реквизит постановления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 наименование федерального органа исполнительной власти - Федеральная служба по надзору в сфере защиты прав потребителей и благополучия человека (</w:t>
            </w:r>
            <w:proofErr w:type="spellStart"/>
            <w:r>
              <w:rPr>
                <w:rFonts w:ascii="Times New Roman" w:eastAsia="Times New Roman" w:hAnsi="Times New Roman" w:cs="Times New Roman"/>
                <w:sz w:val="12"/>
                <w:szCs w:val="12"/>
                <w:lang w:val="ru-RU"/>
              </w:rPr>
              <w:t>Роспотребнадзор</w:t>
            </w:r>
            <w:proofErr w:type="spellEnd"/>
            <w:r>
              <w:rPr>
                <w:rFonts w:ascii="Times New Roman" w:eastAsia="Times New Roman" w:hAnsi="Times New Roman" w:cs="Times New Roman"/>
                <w:sz w:val="12"/>
                <w:szCs w:val="12"/>
                <w:lang w:val="ru-RU"/>
              </w:rPr>
              <w:t>) (полное и сокращенное), которое в соответствии с пунктом 5.7 ГОСТ Р 7.0.97-2016 располагается над наименование должности лица - автора документа.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Номера 2-ой и 3-ей страниц проставлены в нижнем правом углу. Согласно требованиям пунктов 3.3, 3.4 Инструкция по делопроизводству, номера должны быть проставлены в центре верхнего поля листа.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Постановление Главного санитарного врача по городу Санкт-Петербургу №3 от 12 октября 2021 года подписано следующим образом: исполненная подпись, инициалы - Н.С., фамилия –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w:t>
            </w:r>
            <w:r>
              <w:rPr>
                <w:rFonts w:ascii="Times New Roman" w:eastAsia="Times New Roman" w:hAnsi="Times New Roman" w:cs="Times New Roman"/>
                <w:b/>
                <w:sz w:val="12"/>
                <w:szCs w:val="12"/>
                <w:lang w:val="ru-RU"/>
              </w:rPr>
              <w:t>Наименование должности лица, подписавшего документ, нет</w:t>
            </w:r>
            <w:r>
              <w:rPr>
                <w:rFonts w:ascii="Times New Roman" w:eastAsia="Times New Roman" w:hAnsi="Times New Roman" w:cs="Times New Roman"/>
                <w:sz w:val="12"/>
                <w:szCs w:val="12"/>
                <w:lang w:val="ru-RU"/>
              </w:rPr>
              <w:t>.</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Постановление Главного санитарного врача по городу Санкт-Петербургу №3 от 12 октября 2021 года исполнено на бланке произвольной формы (бланк не имеет юридической силы), с нарушением требований Федерального конституционного закона Российской Федерации №2-ФКЗ, без указания обязательных реквизитов, подписано ненадлежащим образом. Таким образом, данный документ не соответствует требованиям, предъявляемым к официальному документу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по форме его исполнения, и таковым не является.</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Как следует из текста Постановления Главного санитарного врача по городу Санкт-Петербургу №3 от 12 октября 2021 года,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Н.С. вынесла данное постановление руководствуясь, в том числе, пунктом 6 части 1 статьи 51 Федерального закона Российской Федерации от 30 марта 1999 года N 52-ФЗ «О санитарно-эпидемиологическом благополучии населения» (далее – Федеральный закон №52).</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соответствии с пунктом 6 части 1 статьи 51 Федерального закона №52 Главные государственные санитарные врачи наделяются, в том числе, следующим полномочием: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проведении профилактических прививок гражданам или отдельным группам граждан по эпидемическим показаниям;</w:t>
            </w:r>
          </w:p>
          <w:p w:rsidR="00C53F65" w:rsidRDefault="00C53F65" w:rsidP="00005076">
            <w:pPr>
              <w:widowControl w:val="0"/>
              <w:spacing w:after="14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введении (отмене) ограничительных мероприятий (карантина) в организациях и на объектах.</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Постановление Главного санитарного врача должно быть мотивированным. В обоснование своего постановления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Н.С. указывает: «Я, главный государственный санитарный врач по городу Санкт-Петербургу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Н.С., проанализировав показатели заболеваемости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инфекцией (COVID-19) совокупного населения Санкт-Петербурга, отмечаю ухудшение эпидемической ситуации, нарастание темпов распространения COVID-19».</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законодательстве Российской Федерации нет понятия «эпидемической ситуации». В статье 1 Федерального закона №52 дано определение понятия санитарно-эпидемиологической обстановки – состояние здоровья населения и среды обитания на определенной территории в конкретно указанное время.</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 соответствии с частью 1 статьи 2 Федерального закона №52 санитарно-эпидемиологическое благополучие населения обеспечивается посредством профилактики заболеваний в соответствии с санитарно-эпидемиологической обстановкой и прогнозом ее изменения.</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Из данного положения следует, что решение вопроса о применении конкретны мер, направленных на профилактику конкретного заболевания может быть принято только после анализа санитарно-эпидемиологической обстановки и прогноза её изменения на конкретной территории в конкретное время. Из постановления, подписанного </w:t>
            </w:r>
            <w:proofErr w:type="spellStart"/>
            <w:r>
              <w:rPr>
                <w:rFonts w:ascii="Times New Roman" w:eastAsia="Times New Roman" w:hAnsi="Times New Roman" w:cs="Times New Roman"/>
                <w:sz w:val="12"/>
                <w:szCs w:val="12"/>
                <w:lang w:val="ru-RU"/>
              </w:rPr>
              <w:t>Башкетовой</w:t>
            </w:r>
            <w:proofErr w:type="spellEnd"/>
            <w:r>
              <w:rPr>
                <w:rFonts w:ascii="Times New Roman" w:eastAsia="Times New Roman" w:hAnsi="Times New Roman" w:cs="Times New Roman"/>
                <w:sz w:val="12"/>
                <w:szCs w:val="12"/>
                <w:lang w:val="ru-RU"/>
              </w:rPr>
              <w:t xml:space="preserve"> Н.С, следует, что при его вынесении она не произвела оценку санитарно-эпидемиологической обстановки на территории Санкт-Петербурга, не произвела прогноз её изменения. Поскольку не был проведён анализ санитарно-эпидемиологической обстановки, не был произведён прогноз её изменения, считать, что решение о проведении в Санкт-Петербурге профилактических прививок против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отдельным группам граждан по эпидемическим показаниям принято на основе обоснованного вывода, в соответствии с законом, нельзя.</w:t>
            </w:r>
          </w:p>
          <w:p w:rsidR="00C53F65" w:rsidRPr="00C53F65" w:rsidRDefault="00C53F65" w:rsidP="00005076">
            <w:pPr>
              <w:widowControl w:val="0"/>
              <w:spacing w:after="0" w:line="360" w:lineRule="auto"/>
              <w:jc w:val="both"/>
              <w:rPr>
                <w:rFonts w:ascii="Times New Roman" w:eastAsia="Times New Roman" w:hAnsi="Times New Roman" w:cs="Times New Roman"/>
                <w:sz w:val="12"/>
                <w:szCs w:val="12"/>
                <w:lang w:val="ru-RU"/>
              </w:rPr>
            </w:pP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Пунктом 2 Постановления Главного санитарного врача по городу Санкт-Петербургу №3 от 12 октября 2021 года руководителям организаций, индивидуальным предпринимателям, осуществляющим деятельность на территории города Санкт-Петербурга, в сферах, установленных пунктом 1 данного постановления предписывается:</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2.1. в срок до 15.11.2021 обеспечить проведение профилактических прививок первым компонентом или однокомпонентной вакциной, в срок до 15.12.2021 - вторым компонентом вакцины против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(COVID-19), прошедшей государственную регистрацию в Российской Федерации, не менее 80% от общей численности работников, сотрудников;</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2.2. усилить информационно-разъяснительную работу среди работников, сотрудников по вопросам профилактики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(COVID-19), обратив особое внимание на необходимость проведения профилактических прививок.</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Поскольку главный санитарный врач по Санкт-Петербургу по своей должности возглавляет территориальный орган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по городу Санкт-Петербургу, он не вправе издавать нормативные правовые акты. Это прямо запрещено пунктом 3.7 Инструкции по делопроизводству, утверждённой приказом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от 24 декабря 2020 года N867 «Об утверждении инструкции по делопроизводству»: «</w:t>
            </w:r>
            <w:r>
              <w:rPr>
                <w:rFonts w:ascii="Times New Roman" w:eastAsia="Times New Roman" w:hAnsi="Times New Roman" w:cs="Times New Roman"/>
                <w:b/>
                <w:sz w:val="12"/>
                <w:szCs w:val="12"/>
                <w:lang w:val="ru-RU"/>
              </w:rPr>
              <w:t xml:space="preserve">Структурные подразделения и территориальные органы </w:t>
            </w:r>
            <w:proofErr w:type="spellStart"/>
            <w:r>
              <w:rPr>
                <w:rFonts w:ascii="Times New Roman" w:eastAsia="Times New Roman" w:hAnsi="Times New Roman" w:cs="Times New Roman"/>
                <w:b/>
                <w:sz w:val="12"/>
                <w:szCs w:val="12"/>
                <w:lang w:val="ru-RU"/>
              </w:rPr>
              <w:t>Роспотребнадзора</w:t>
            </w:r>
            <w:proofErr w:type="spellEnd"/>
            <w:r>
              <w:rPr>
                <w:rFonts w:ascii="Times New Roman" w:eastAsia="Times New Roman" w:hAnsi="Times New Roman" w:cs="Times New Roman"/>
                <w:b/>
                <w:sz w:val="12"/>
                <w:szCs w:val="12"/>
                <w:lang w:val="ru-RU"/>
              </w:rPr>
              <w:t xml:space="preserve"> не вправе издавать нормативные правовые акты</w:t>
            </w:r>
            <w:r>
              <w:rPr>
                <w:rFonts w:ascii="Times New Roman" w:eastAsia="Times New Roman" w:hAnsi="Times New Roman" w:cs="Times New Roman"/>
                <w:sz w:val="12"/>
                <w:szCs w:val="12"/>
                <w:lang w:val="ru-RU"/>
              </w:rPr>
              <w:t>». Постановление главного санитарного врача по Санкт-Петербургу не может содержать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Оно может быть обращено в отношении конкретно лица, находящегося на территории Санкт-Петербурга, конкретного органа исполнительной власти Санкт-Петербурга, исполнительно-распорядительного органа внутригородского муниципального образования Санкт-Петербурга.</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Подписав Постановление Главного санитарного врача по городу Санкт-Петербургу №3 от 12 октября 2021 года,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Н.С. превысила свои полномочия, в части возложения обязанностей, предусмотренных пунктами 2.1 и 2.2 постановления, в отношении неопределённого круга лиц, которые осуществляют деятельность на территории города Санкт-Петербурга, в сферах, установленных пунктом 1 постановления и возложив на лиц, указанных в пункте 2 постановления, ответственность в соответствии с </w:t>
            </w:r>
            <w:r>
              <w:rPr>
                <w:rFonts w:ascii="Times New Roman" w:eastAsia="Times New Roman" w:hAnsi="Times New Roman" w:cs="Times New Roman"/>
                <w:b/>
                <w:sz w:val="12"/>
                <w:szCs w:val="12"/>
                <w:lang w:val="ru-RU"/>
              </w:rPr>
              <w:t xml:space="preserve">одним из пунктов 6 </w:t>
            </w:r>
            <w:r>
              <w:rPr>
                <w:rFonts w:ascii="Times New Roman" w:eastAsia="Times New Roman" w:hAnsi="Times New Roman" w:cs="Times New Roman"/>
                <w:sz w:val="12"/>
                <w:szCs w:val="12"/>
                <w:lang w:val="ru-RU"/>
              </w:rPr>
              <w:t>постановления. В полномочия Главного санитарного врача по Санкт-Петербургу входит вынесение мотивированного постановления о проведении профилактических прививок гражданам или отдельным группам граждан по эпидемическим показаниям в отношении конкретного лица (лиц), на которое(</w:t>
            </w:r>
            <w:proofErr w:type="spellStart"/>
            <w:r>
              <w:rPr>
                <w:rFonts w:ascii="Times New Roman" w:eastAsia="Times New Roman" w:hAnsi="Times New Roman" w:cs="Times New Roman"/>
                <w:sz w:val="12"/>
                <w:szCs w:val="12"/>
                <w:lang w:val="ru-RU"/>
              </w:rPr>
              <w:t>ые</w:t>
            </w:r>
            <w:proofErr w:type="spellEnd"/>
            <w:r>
              <w:rPr>
                <w:rFonts w:ascii="Times New Roman" w:eastAsia="Times New Roman" w:hAnsi="Times New Roman" w:cs="Times New Roman"/>
                <w:sz w:val="12"/>
                <w:szCs w:val="12"/>
                <w:lang w:val="ru-RU"/>
              </w:rPr>
              <w:t>) возлагаются обязанности, предусмотренные пунктом 2 постановления.</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Таким образом, Постановление Главного санитарного врача по городу Санкт-Петербургу №3 от 12 октября 2021 года по форме своего исполнения не является документом, который по своим признакам относится к официальному документу </w:t>
            </w:r>
            <w:proofErr w:type="spellStart"/>
            <w:r>
              <w:rPr>
                <w:rFonts w:ascii="Times New Roman" w:eastAsia="Times New Roman" w:hAnsi="Times New Roman" w:cs="Times New Roman"/>
                <w:sz w:val="12"/>
                <w:szCs w:val="12"/>
                <w:lang w:val="ru-RU"/>
              </w:rPr>
              <w:t>Роспотребнадзора</w:t>
            </w:r>
            <w:proofErr w:type="spellEnd"/>
            <w:r>
              <w:rPr>
                <w:rFonts w:ascii="Times New Roman" w:eastAsia="Times New Roman" w:hAnsi="Times New Roman" w:cs="Times New Roman"/>
                <w:sz w:val="12"/>
                <w:szCs w:val="12"/>
                <w:lang w:val="ru-RU"/>
              </w:rPr>
              <w:t xml:space="preserve">, в качестве мотива вынесения постановления указан результат деятельности, которая не предусмотрено действующим законодательством. При вынесении данного постановления </w:t>
            </w:r>
            <w:proofErr w:type="spellStart"/>
            <w:r>
              <w:rPr>
                <w:rFonts w:ascii="Times New Roman" w:eastAsia="Times New Roman" w:hAnsi="Times New Roman" w:cs="Times New Roman"/>
                <w:sz w:val="12"/>
                <w:szCs w:val="12"/>
                <w:lang w:val="ru-RU"/>
              </w:rPr>
              <w:t>Башкетова</w:t>
            </w:r>
            <w:proofErr w:type="spellEnd"/>
            <w:r>
              <w:rPr>
                <w:rFonts w:ascii="Times New Roman" w:eastAsia="Times New Roman" w:hAnsi="Times New Roman" w:cs="Times New Roman"/>
                <w:sz w:val="12"/>
                <w:szCs w:val="12"/>
                <w:lang w:val="ru-RU"/>
              </w:rPr>
              <w:t xml:space="preserve"> Н.С. превысила полномочия, которые предусмотрены действующим законодательство в отношении Главного санитарного врача субъекта Российской Федерации. Данное постановление не соответствует требованиям действующего законодательства.</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Вышеизложенные факты свидетельствуют о том, что Постановление №766 содержит нормы противоречащие Конституции Российской Федерации, нарушающие охраняемые законом права граждан, содержит неурегулированные нормы, которые вводят в правовой оборот новое понятие, но не раскрывают механизмов регулирования правоотношений в связи с его введением. Данное постановление содержит нормы, которые основаны на документе, не соответствующим законодательству. Данные нормы незаконно ограничивают права граждан и юридических лиц.</w:t>
            </w:r>
          </w:p>
          <w:p w:rsidR="00C53F65" w:rsidRDefault="00C53F65" w:rsidP="00005076">
            <w:pPr>
              <w:widowControl w:val="0"/>
              <w:spacing w:after="0" w:line="360" w:lineRule="auto"/>
              <w:ind w:firstLine="540"/>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На основании вышеизложенного,</w:t>
            </w:r>
          </w:p>
          <w:p w:rsidR="00C53F65" w:rsidRDefault="00C53F65" w:rsidP="00005076">
            <w:pPr>
              <w:widowControl w:val="0"/>
              <w:spacing w:after="0" w:line="360" w:lineRule="auto"/>
              <w:ind w:firstLine="540"/>
              <w:jc w:val="center"/>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Просим:</w:t>
            </w:r>
          </w:p>
          <w:p w:rsidR="00C53F65" w:rsidRP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Провести правовую экспертизу Постановления Правительства Санкт-Петербурга от 13 марта 2020 года №121 «О мерах по противодействию распространению в Санкт-Петербурге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w:t>
            </w:r>
            <w:r>
              <w:rPr>
                <w:rFonts w:ascii="Times New Roman" w:eastAsia="Times New Roman" w:hAnsi="Times New Roman" w:cs="Times New Roman"/>
                <w:sz w:val="12"/>
                <w:szCs w:val="12"/>
              </w:rPr>
              <w:t>COVID</w:t>
            </w:r>
            <w:r>
              <w:rPr>
                <w:rFonts w:ascii="Times New Roman" w:eastAsia="Times New Roman" w:hAnsi="Times New Roman" w:cs="Times New Roman"/>
                <w:sz w:val="12"/>
                <w:szCs w:val="12"/>
                <w:lang w:val="ru-RU"/>
              </w:rPr>
              <w:t>-19)» в действующей редакции в максимально короткий срок.</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Сообщить, получало ли Главное управление Министерства юстиции Российской Федерации по Санкт-Петербургу Постановление Правительства Санкт-Петербурга от 18 октября 2021 года №766 «О внесении изменений в Постановление Правительства Санкт-Петербурга от 13.03.2020 №121» для проведения правовой экспертизы?</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Если Главное управление Министерства юстиции Российской Федерации по Санкт-Петербургу получало данное постановление для проведения правовой экспертизы, просьба сообщить, рассматривался ли вопрос о возможности проведения правовой экспертизы данного Постановления?</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Если данный вопрос рассматривался, просьба сообщить кем рассматривался, каковы причины не проведения правой экспертизы, кроме рекомендательного характера её проведения?</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Если такие причины были, просьба сообщить, производилась ли их письменная фиксация в каком-либо документе?</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Если эти причины документально зафиксированы, просьба предоставить копию документа, в котором они зафиксированы.</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Провести правовую экспертизу Постановления Правительства Санкт-Петербурга от 18 октября 2021 года №766 «О внесении изменений в Постановление Правительства Санкт-Петербурга от 13.03.2020 №121».</w:t>
            </w:r>
          </w:p>
          <w:p w:rsidR="00C53F65" w:rsidRDefault="00C53F65" w:rsidP="00005076">
            <w:pPr>
              <w:pStyle w:val="a3"/>
              <w:widowControl w:val="0"/>
              <w:numPr>
                <w:ilvl w:val="0"/>
                <w:numId w:val="3"/>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Если нам будет отказано в проведении данной экспертизы, просим сообщить основания и причины отказа.</w:t>
            </w:r>
          </w:p>
          <w:p w:rsidR="00C53F65" w:rsidRDefault="00C53F65" w:rsidP="00005076">
            <w:pPr>
              <w:widowControl w:val="0"/>
              <w:spacing w:after="0" w:line="360" w:lineRule="auto"/>
              <w:ind w:left="360"/>
              <w:jc w:val="center"/>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Приложение:</w:t>
            </w:r>
          </w:p>
          <w:p w:rsidR="00C53F65" w:rsidRDefault="00C53F65" w:rsidP="00005076">
            <w:pPr>
              <w:pStyle w:val="a3"/>
              <w:widowControl w:val="0"/>
              <w:numPr>
                <w:ilvl w:val="0"/>
                <w:numId w:val="4"/>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Копия действующей на момент подписания редакции Постановления Правительства Санкт-Петербурга от 13 марта 2020 года №121 «О мерах по противодействию распространению в Санкт-Петербурге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(COVID-19)», распечатанная с официального источника правовых актов Губернатора Санкт-Петербурга, Правительства Санкт-Петербурга, иных исполнительных органов государственной власти Санкт-Петербурга (согласно пункту 2 Постановления Правительства Санкт-Петербурга ) от 29 июня 2011 года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 - официального сайта Администрации Санкт-Петербурга в информационно-телекоммуникационной сети «Интернет» (www.gov.spb.ru)</w:t>
            </w:r>
          </w:p>
          <w:p w:rsidR="00C53F65" w:rsidRPr="00C53F65" w:rsidRDefault="00C53F65" w:rsidP="00005076">
            <w:pPr>
              <w:pStyle w:val="a3"/>
              <w:widowControl w:val="0"/>
              <w:spacing w:after="0" w:line="360" w:lineRule="auto"/>
              <w:jc w:val="both"/>
              <w:rPr>
                <w:lang w:val="ru-RU"/>
              </w:rPr>
            </w:pPr>
            <w:hyperlink r:id="rId11">
              <w:r>
                <w:rPr>
                  <w:rFonts w:ascii="Times New Roman" w:eastAsia="Times New Roman" w:hAnsi="Times New Roman" w:cs="Times New Roman"/>
                  <w:sz w:val="12"/>
                  <w:szCs w:val="12"/>
                  <w:lang w:val="ru-RU"/>
                </w:rPr>
                <w:t>https://www.gov.spb.ru/law/d?nd=564437085&amp;point=mark=000000D2EBS19G00002O60000NM60A1LRLO2863LMO3V3D99S1M2I</w:t>
              </w:r>
              <w:r>
                <w:rPr>
                  <w:rFonts w:ascii="Times New Roman" w:eastAsia="Times New Roman" w:hAnsi="Times New Roman" w:cs="Times New Roman"/>
                  <w:sz w:val="12"/>
                  <w:szCs w:val="12"/>
                  <w:lang w:val="ru-RU"/>
                </w:rPr>
                <w:lastRenderedPageBreak/>
                <w:t>4DC</w:t>
              </w:r>
            </w:hyperlink>
          </w:p>
          <w:p w:rsidR="00C53F65" w:rsidRPr="00C53F65" w:rsidRDefault="00C53F65" w:rsidP="00005076">
            <w:pPr>
              <w:pStyle w:val="a3"/>
              <w:widowControl w:val="0"/>
              <w:spacing w:after="0" w:line="360" w:lineRule="auto"/>
              <w:jc w:val="both"/>
              <w:rPr>
                <w:rFonts w:ascii="Times New Roman" w:eastAsia="Times New Roman" w:hAnsi="Times New Roman" w:cs="Times New Roman"/>
                <w:sz w:val="12"/>
                <w:szCs w:val="12"/>
                <w:lang w:val="ru-RU"/>
              </w:rPr>
            </w:pPr>
          </w:p>
          <w:p w:rsidR="00C53F65" w:rsidRDefault="00C53F65" w:rsidP="00005076">
            <w:pPr>
              <w:pStyle w:val="a3"/>
              <w:widowControl w:val="0"/>
              <w:numPr>
                <w:ilvl w:val="0"/>
                <w:numId w:val="4"/>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Копия Постановления Правительства Санкт-Петербурга от 18 октября 2021 года №766 «О внесении изменений в Постановление Правительства Санкт-Петербурга от 13.03.2020 №121» )», распечатанная с официального источника правовых актов Губернатора Санкт-Петербурга, Правительства Санкт-Петербурга, иных исполнительных органов государственной власти Санкт-Петербурга  Официальный сайт Администрации Санкт-Петербурга в информационно-телекоммуникационной сети «Интернет» (www.gov.spb.ru) (согласно пункту 2 Постановления Правительства Санкт-Петербурга от 29 июня 2011 года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 - официального сайта Администрации Санкт-Петербурга в информационно-телекоммуникационной сети «Интернет» (www.gov.spb.ru)</w:t>
            </w:r>
          </w:p>
          <w:p w:rsidR="00C53F65" w:rsidRPr="00C53F65" w:rsidRDefault="00C53F65" w:rsidP="00005076">
            <w:pPr>
              <w:pStyle w:val="a3"/>
              <w:widowControl w:val="0"/>
              <w:spacing w:after="0" w:line="360" w:lineRule="auto"/>
              <w:jc w:val="both"/>
              <w:rPr>
                <w:lang w:val="ru-RU"/>
              </w:rPr>
            </w:pPr>
            <w:hyperlink r:id="rId12">
              <w:r>
                <w:rPr>
                  <w:rFonts w:ascii="Times New Roman" w:eastAsia="Times New Roman" w:hAnsi="Times New Roman" w:cs="Times New Roman"/>
                  <w:sz w:val="12"/>
                  <w:szCs w:val="12"/>
                  <w:lang w:val="ru-RU"/>
                </w:rPr>
                <w:t>https://www.gov.spb.ru/static/writable/ckeditor/uploads/2021/10/18/57/766.pdf</w:t>
              </w:r>
            </w:hyperlink>
          </w:p>
          <w:p w:rsidR="00C53F65" w:rsidRPr="00C53F65" w:rsidRDefault="00C53F65" w:rsidP="00005076">
            <w:pPr>
              <w:pStyle w:val="a3"/>
              <w:widowControl w:val="0"/>
              <w:spacing w:after="0" w:line="360" w:lineRule="auto"/>
              <w:jc w:val="both"/>
              <w:rPr>
                <w:rFonts w:ascii="Times New Roman" w:eastAsia="Times New Roman" w:hAnsi="Times New Roman" w:cs="Times New Roman"/>
                <w:sz w:val="12"/>
                <w:szCs w:val="12"/>
                <w:lang w:val="ru-RU"/>
              </w:rPr>
            </w:pPr>
          </w:p>
          <w:p w:rsidR="00C53F65" w:rsidRDefault="00C53F65" w:rsidP="00005076">
            <w:pPr>
              <w:pStyle w:val="a3"/>
              <w:widowControl w:val="0"/>
              <w:numPr>
                <w:ilvl w:val="0"/>
                <w:numId w:val="4"/>
              </w:numPr>
              <w:spacing w:after="0" w:line="360" w:lineRule="auto"/>
              <w:jc w:val="both"/>
              <w:rPr>
                <w:rFonts w:ascii="Times New Roman" w:eastAsia="Times New Roman" w:hAnsi="Times New Roman" w:cs="Times New Roman"/>
                <w:sz w:val="12"/>
                <w:szCs w:val="12"/>
                <w:lang w:val="ru-RU"/>
              </w:rPr>
            </w:pPr>
            <w:r>
              <w:rPr>
                <w:rFonts w:ascii="Times New Roman" w:eastAsia="Times New Roman" w:hAnsi="Times New Roman" w:cs="Times New Roman"/>
                <w:sz w:val="12"/>
                <w:szCs w:val="12"/>
                <w:lang w:val="ru-RU"/>
              </w:rPr>
              <w:t xml:space="preserve">Копия постановления Главного государственного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отдельным группам граждан по эпидемическим показаниям», распечатанная с официального сайта </w:t>
            </w:r>
            <w:proofErr w:type="spellStart"/>
            <w:r>
              <w:rPr>
                <w:rFonts w:ascii="Times New Roman" w:eastAsia="Times New Roman" w:hAnsi="Times New Roman" w:cs="Times New Roman"/>
                <w:sz w:val="12"/>
                <w:szCs w:val="12"/>
                <w:lang w:val="ru-RU"/>
              </w:rPr>
              <w:t>Роспотребназора</w:t>
            </w:r>
            <w:proofErr w:type="spellEnd"/>
            <w:r>
              <w:rPr>
                <w:rFonts w:ascii="Times New Roman" w:eastAsia="Times New Roman" w:hAnsi="Times New Roman" w:cs="Times New Roman"/>
                <w:sz w:val="12"/>
                <w:szCs w:val="12"/>
                <w:lang w:val="ru-RU"/>
              </w:rPr>
              <w:t xml:space="preserve"> по Санкт-Петербургу в информационно-телекоммуникационной сети «Интернет» (www.78.rospotrebnadzor.ru)</w:t>
            </w:r>
          </w:p>
          <w:p w:rsidR="00C53F65" w:rsidRPr="00C53F65" w:rsidRDefault="00C53F65" w:rsidP="00005076">
            <w:pPr>
              <w:pStyle w:val="a3"/>
              <w:widowControl w:val="0"/>
              <w:spacing w:after="0" w:line="360" w:lineRule="auto"/>
              <w:jc w:val="both"/>
              <w:rPr>
                <w:lang w:val="ru-RU"/>
              </w:rPr>
            </w:pPr>
            <w:hyperlink r:id="rId13">
              <w:r>
                <w:rPr>
                  <w:rFonts w:ascii="Times New Roman" w:eastAsia="Times New Roman" w:hAnsi="Times New Roman" w:cs="Times New Roman"/>
                  <w:sz w:val="12"/>
                  <w:szCs w:val="12"/>
                  <w:lang w:val="ru-RU"/>
                </w:rPr>
                <w:t>http://78.rospotrebnadzor.ru/c/document_library/get_file?uuid=90e5b892-321a-45a8-b768-abbdbfbad1a8&amp;groupId=935484</w:t>
              </w:r>
            </w:hyperlink>
          </w:p>
          <w:p w:rsidR="00C53F65" w:rsidRDefault="00C53F65" w:rsidP="00005076">
            <w:pPr>
              <w:widowControl w:val="0"/>
              <w:spacing w:after="0" w:line="240" w:lineRule="auto"/>
              <w:rPr>
                <w:rFonts w:ascii="Calibri" w:eastAsia="Calibri" w:hAnsi="Calibri"/>
                <w:sz w:val="12"/>
                <w:szCs w:val="12"/>
                <w:lang w:val="ru-RU"/>
              </w:rPr>
            </w:pPr>
            <w:r>
              <w:rPr>
                <w:rFonts w:eastAsia="Calibri"/>
                <w:sz w:val="12"/>
                <w:szCs w:val="12"/>
                <w:lang w:val="ru-RU"/>
              </w:rPr>
              <w:t>на 19 листах</w:t>
            </w:r>
          </w:p>
        </w:tc>
        <w:tc>
          <w:tcPr>
            <w:tcW w:w="991" w:type="dxa"/>
            <w:vAlign w:val="center"/>
          </w:tcPr>
          <w:p w:rsidR="00C53F65" w:rsidRDefault="00C53F65" w:rsidP="00005076">
            <w:pPr>
              <w:widowControl w:val="0"/>
              <w:spacing w:after="0" w:line="240" w:lineRule="auto"/>
              <w:jc w:val="center"/>
              <w:rPr>
                <w:lang w:val="ru-RU"/>
              </w:rPr>
            </w:pPr>
            <w:r>
              <w:rPr>
                <w:rFonts w:eastAsia="Calibri"/>
                <w:lang w:val="ru-RU"/>
              </w:rPr>
              <w:lastRenderedPageBreak/>
              <w:t>1</w:t>
            </w:r>
          </w:p>
        </w:tc>
        <w:tc>
          <w:tcPr>
            <w:tcW w:w="1277" w:type="dxa"/>
            <w:gridSpan w:val="2"/>
            <w:tcBorders>
              <w:righ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1</w:t>
            </w:r>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rPr>
                <w:sz w:val="2"/>
                <w:szCs w:val="2"/>
                <w:lang w:val="ru-RU"/>
              </w:rPr>
            </w:pPr>
          </w:p>
        </w:tc>
      </w:tr>
      <w:tr w:rsidR="00C53F65" w:rsidTr="00005076">
        <w:tc>
          <w:tcPr>
            <w:tcW w:w="232" w:type="dxa"/>
            <w:tcBorders>
              <w:top w:val="nil"/>
              <w:left w:val="nil"/>
              <w:bottom w:val="nil"/>
              <w:right w:val="single" w:sz="18" w:space="0" w:color="000000"/>
            </w:tcBorders>
          </w:tcPr>
          <w:p w:rsidR="00C53F65" w:rsidRDefault="00C53F65" w:rsidP="00005076">
            <w:pPr>
              <w:widowControl w:val="0"/>
              <w:spacing w:after="0" w:line="240" w:lineRule="auto"/>
              <w:rPr>
                <w:sz w:val="2"/>
                <w:szCs w:val="2"/>
                <w:lang w:val="ru-RU"/>
              </w:rPr>
            </w:pPr>
          </w:p>
        </w:tc>
        <w:tc>
          <w:tcPr>
            <w:tcW w:w="547" w:type="dxa"/>
            <w:tcBorders>
              <w:lef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2</w:t>
            </w:r>
          </w:p>
        </w:tc>
        <w:tc>
          <w:tcPr>
            <w:tcW w:w="7587" w:type="dxa"/>
            <w:vAlign w:val="center"/>
          </w:tcPr>
          <w:p w:rsidR="00C53F65" w:rsidRDefault="00C53F65" w:rsidP="00005076">
            <w:pPr>
              <w:widowControl w:val="0"/>
              <w:spacing w:after="0" w:line="360" w:lineRule="auto"/>
              <w:jc w:val="both"/>
              <w:rPr>
                <w:sz w:val="12"/>
                <w:szCs w:val="12"/>
                <w:lang w:val="ru-RU"/>
              </w:rPr>
            </w:pPr>
            <w:r>
              <w:rPr>
                <w:rFonts w:eastAsia="Calibri"/>
                <w:sz w:val="12"/>
                <w:szCs w:val="12"/>
                <w:lang w:val="ru-RU"/>
              </w:rPr>
              <w:t xml:space="preserve">Приложение 1: </w:t>
            </w:r>
            <w:r>
              <w:rPr>
                <w:rFonts w:ascii="Times New Roman" w:eastAsia="Times New Roman" w:hAnsi="Times New Roman" w:cs="Times New Roman"/>
                <w:sz w:val="12"/>
                <w:szCs w:val="12"/>
                <w:lang w:val="ru-RU"/>
              </w:rPr>
              <w:t xml:space="preserve">Копия действующей на момент подписания редакции Постановления Правительства Санкт-Петербурга от 13 марта 2020 года №121 «О мерах по противодействию распространению в Санкт-Петербурге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(COVID-19)»</w:t>
            </w:r>
            <w:r>
              <w:rPr>
                <w:rFonts w:eastAsia="Calibri"/>
                <w:sz w:val="12"/>
                <w:szCs w:val="12"/>
                <w:lang w:val="ru-RU"/>
              </w:rPr>
              <w:t xml:space="preserve"> на 54 листах</w:t>
            </w:r>
          </w:p>
        </w:tc>
        <w:tc>
          <w:tcPr>
            <w:tcW w:w="991" w:type="dxa"/>
            <w:vAlign w:val="center"/>
          </w:tcPr>
          <w:p w:rsidR="00C53F65" w:rsidRDefault="00C53F65" w:rsidP="00005076">
            <w:pPr>
              <w:widowControl w:val="0"/>
              <w:spacing w:after="0" w:line="240" w:lineRule="auto"/>
              <w:jc w:val="center"/>
              <w:rPr>
                <w:lang w:val="ru-RU"/>
              </w:rPr>
            </w:pPr>
            <w:r>
              <w:rPr>
                <w:rFonts w:eastAsia="Calibri"/>
                <w:lang w:val="ru-RU"/>
              </w:rPr>
              <w:t>1</w:t>
            </w:r>
          </w:p>
        </w:tc>
        <w:tc>
          <w:tcPr>
            <w:tcW w:w="1277" w:type="dxa"/>
            <w:gridSpan w:val="2"/>
            <w:tcBorders>
              <w:righ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1</w:t>
            </w:r>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rPr>
                <w:sz w:val="2"/>
                <w:szCs w:val="2"/>
                <w:lang w:val="ru-RU"/>
              </w:rPr>
            </w:pPr>
          </w:p>
        </w:tc>
      </w:tr>
      <w:tr w:rsidR="00C53F65" w:rsidTr="00005076">
        <w:tc>
          <w:tcPr>
            <w:tcW w:w="232" w:type="dxa"/>
            <w:tcBorders>
              <w:top w:val="nil"/>
              <w:left w:val="nil"/>
              <w:bottom w:val="nil"/>
              <w:right w:val="single" w:sz="18" w:space="0" w:color="000000"/>
            </w:tcBorders>
          </w:tcPr>
          <w:p w:rsidR="00C53F65" w:rsidRDefault="00C53F65" w:rsidP="00005076">
            <w:pPr>
              <w:widowControl w:val="0"/>
              <w:spacing w:after="0" w:line="240" w:lineRule="auto"/>
              <w:rPr>
                <w:sz w:val="2"/>
                <w:szCs w:val="2"/>
                <w:lang w:val="ru-RU"/>
              </w:rPr>
            </w:pPr>
          </w:p>
        </w:tc>
        <w:tc>
          <w:tcPr>
            <w:tcW w:w="547" w:type="dxa"/>
            <w:tcBorders>
              <w:lef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3</w:t>
            </w:r>
          </w:p>
        </w:tc>
        <w:tc>
          <w:tcPr>
            <w:tcW w:w="7587" w:type="dxa"/>
            <w:vAlign w:val="center"/>
          </w:tcPr>
          <w:p w:rsidR="00C53F65" w:rsidRDefault="00C53F65" w:rsidP="00005076">
            <w:pPr>
              <w:widowControl w:val="0"/>
              <w:spacing w:after="0" w:line="360" w:lineRule="auto"/>
              <w:jc w:val="both"/>
              <w:rPr>
                <w:sz w:val="12"/>
                <w:szCs w:val="12"/>
                <w:lang w:val="ru-RU"/>
              </w:rPr>
            </w:pPr>
            <w:r>
              <w:rPr>
                <w:rFonts w:eastAsia="Calibri"/>
                <w:sz w:val="12"/>
                <w:szCs w:val="12"/>
                <w:lang w:val="ru-RU"/>
              </w:rPr>
              <w:t xml:space="preserve">Приложение 2: </w:t>
            </w:r>
            <w:r>
              <w:rPr>
                <w:rFonts w:ascii="Times New Roman" w:eastAsia="Times New Roman" w:hAnsi="Times New Roman" w:cs="Times New Roman"/>
                <w:sz w:val="12"/>
                <w:szCs w:val="12"/>
                <w:lang w:val="ru-RU"/>
              </w:rPr>
              <w:t xml:space="preserve">Копия Постановления Правительства Санкт-Петербурга от 18 октября 2021 года №766 «О внесении изменений в Постановление Правительства Санкт-Петербурга от 13.03.2020 №121» </w:t>
            </w:r>
            <w:r>
              <w:rPr>
                <w:rFonts w:eastAsia="Calibri"/>
                <w:sz w:val="12"/>
                <w:szCs w:val="12"/>
                <w:lang w:val="ru-RU"/>
              </w:rPr>
              <w:t>на 9 листах</w:t>
            </w:r>
          </w:p>
        </w:tc>
        <w:tc>
          <w:tcPr>
            <w:tcW w:w="991" w:type="dxa"/>
            <w:vAlign w:val="center"/>
          </w:tcPr>
          <w:p w:rsidR="00C53F65" w:rsidRDefault="00C53F65" w:rsidP="00005076">
            <w:pPr>
              <w:widowControl w:val="0"/>
              <w:spacing w:after="0" w:line="240" w:lineRule="auto"/>
              <w:jc w:val="center"/>
              <w:rPr>
                <w:lang w:val="ru-RU"/>
              </w:rPr>
            </w:pPr>
            <w:r>
              <w:rPr>
                <w:rFonts w:eastAsia="Calibri"/>
                <w:lang w:val="ru-RU"/>
              </w:rPr>
              <w:t>1</w:t>
            </w:r>
          </w:p>
        </w:tc>
        <w:tc>
          <w:tcPr>
            <w:tcW w:w="1277" w:type="dxa"/>
            <w:gridSpan w:val="2"/>
            <w:tcBorders>
              <w:right w:val="single" w:sz="18" w:space="0" w:color="000000"/>
            </w:tcBorders>
            <w:vAlign w:val="center"/>
          </w:tcPr>
          <w:p w:rsidR="00C53F65" w:rsidRDefault="00C53F65" w:rsidP="00005076">
            <w:pPr>
              <w:widowControl w:val="0"/>
              <w:spacing w:after="0" w:line="240" w:lineRule="auto"/>
              <w:jc w:val="center"/>
              <w:rPr>
                <w:lang w:val="ru-RU"/>
              </w:rPr>
            </w:pPr>
            <w:r>
              <w:rPr>
                <w:rFonts w:eastAsia="Calibri"/>
                <w:lang w:val="ru-RU"/>
              </w:rPr>
              <w:t>1</w:t>
            </w:r>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rPr>
                <w:sz w:val="2"/>
                <w:szCs w:val="2"/>
                <w:lang w:val="ru-RU"/>
              </w:rPr>
            </w:pPr>
          </w:p>
        </w:tc>
      </w:tr>
      <w:tr w:rsidR="00C53F65" w:rsidTr="00005076">
        <w:tc>
          <w:tcPr>
            <w:tcW w:w="232" w:type="dxa"/>
            <w:tcBorders>
              <w:top w:val="nil"/>
              <w:left w:val="nil"/>
              <w:bottom w:val="nil"/>
              <w:right w:val="single" w:sz="18" w:space="0" w:color="000000"/>
            </w:tcBorders>
          </w:tcPr>
          <w:p w:rsidR="00C53F65" w:rsidRDefault="00C53F65" w:rsidP="00005076">
            <w:pPr>
              <w:widowControl w:val="0"/>
              <w:spacing w:after="0" w:line="240" w:lineRule="auto"/>
              <w:rPr>
                <w:lang w:val="ru-RU"/>
              </w:rPr>
            </w:pPr>
          </w:p>
        </w:tc>
        <w:tc>
          <w:tcPr>
            <w:tcW w:w="547" w:type="dxa"/>
            <w:tcBorders>
              <w:left w:val="single" w:sz="18" w:space="0" w:color="000000"/>
              <w:bottom w:val="single" w:sz="18" w:space="0" w:color="000000"/>
            </w:tcBorders>
          </w:tcPr>
          <w:p w:rsidR="00C53F65" w:rsidRDefault="00C53F65" w:rsidP="00005076">
            <w:pPr>
              <w:widowControl w:val="0"/>
              <w:spacing w:after="0" w:line="240" w:lineRule="auto"/>
              <w:jc w:val="center"/>
              <w:rPr>
                <w:lang w:val="ru-RU"/>
              </w:rPr>
            </w:pPr>
            <w:r>
              <w:rPr>
                <w:rFonts w:eastAsia="Calibri"/>
                <w:lang w:val="ru-RU"/>
              </w:rPr>
              <w:t>4</w:t>
            </w:r>
          </w:p>
        </w:tc>
        <w:tc>
          <w:tcPr>
            <w:tcW w:w="7587" w:type="dxa"/>
            <w:tcBorders>
              <w:bottom w:val="single" w:sz="18" w:space="0" w:color="000000"/>
            </w:tcBorders>
          </w:tcPr>
          <w:p w:rsidR="00C53F65" w:rsidRDefault="00C53F65" w:rsidP="00005076">
            <w:pPr>
              <w:widowControl w:val="0"/>
              <w:spacing w:after="0" w:line="360" w:lineRule="auto"/>
              <w:jc w:val="both"/>
              <w:rPr>
                <w:sz w:val="12"/>
                <w:szCs w:val="12"/>
                <w:lang w:val="ru-RU"/>
              </w:rPr>
            </w:pPr>
            <w:r>
              <w:rPr>
                <w:rFonts w:eastAsia="Calibri"/>
                <w:sz w:val="12"/>
                <w:szCs w:val="12"/>
                <w:lang w:val="ru-RU"/>
              </w:rPr>
              <w:t xml:space="preserve">Приложение 3: </w:t>
            </w:r>
            <w:r>
              <w:rPr>
                <w:rFonts w:ascii="Times New Roman" w:eastAsia="Times New Roman" w:hAnsi="Times New Roman" w:cs="Times New Roman"/>
                <w:sz w:val="12"/>
                <w:szCs w:val="12"/>
                <w:lang w:val="ru-RU"/>
              </w:rPr>
              <w:t xml:space="preserve">Копия постановления Главного государственного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rFonts w:ascii="Times New Roman" w:eastAsia="Times New Roman" w:hAnsi="Times New Roman" w:cs="Times New Roman"/>
                <w:sz w:val="12"/>
                <w:szCs w:val="12"/>
                <w:lang w:val="ru-RU"/>
              </w:rPr>
              <w:t>коронавирусной</w:t>
            </w:r>
            <w:proofErr w:type="spellEnd"/>
            <w:r>
              <w:rPr>
                <w:rFonts w:ascii="Times New Roman" w:eastAsia="Times New Roman" w:hAnsi="Times New Roman" w:cs="Times New Roman"/>
                <w:sz w:val="12"/>
                <w:szCs w:val="12"/>
                <w:lang w:val="ru-RU"/>
              </w:rPr>
              <w:t xml:space="preserve"> инфекции отдельным группам граждан по эпидемическим показаниям»</w:t>
            </w:r>
            <w:r>
              <w:rPr>
                <w:rFonts w:eastAsia="Calibri"/>
                <w:sz w:val="12"/>
                <w:szCs w:val="12"/>
                <w:lang w:val="ru-RU"/>
              </w:rPr>
              <w:t xml:space="preserve"> на 3 листах</w:t>
            </w:r>
          </w:p>
        </w:tc>
        <w:tc>
          <w:tcPr>
            <w:tcW w:w="991" w:type="dxa"/>
            <w:tcBorders>
              <w:bottom w:val="single" w:sz="18" w:space="0" w:color="000000"/>
            </w:tcBorders>
          </w:tcPr>
          <w:p w:rsidR="00C53F65" w:rsidRDefault="00C53F65" w:rsidP="00005076">
            <w:pPr>
              <w:widowControl w:val="0"/>
              <w:spacing w:after="0" w:line="240" w:lineRule="auto"/>
              <w:jc w:val="center"/>
              <w:rPr>
                <w:lang w:val="ru-RU"/>
              </w:rPr>
            </w:pPr>
            <w:r>
              <w:rPr>
                <w:rFonts w:eastAsia="Calibri"/>
                <w:lang w:val="ru-RU"/>
              </w:rPr>
              <w:t>1</w:t>
            </w:r>
          </w:p>
        </w:tc>
        <w:tc>
          <w:tcPr>
            <w:tcW w:w="1277" w:type="dxa"/>
            <w:gridSpan w:val="2"/>
            <w:tcBorders>
              <w:bottom w:val="single" w:sz="18" w:space="0" w:color="000000"/>
              <w:right w:val="single" w:sz="18" w:space="0" w:color="000000"/>
            </w:tcBorders>
          </w:tcPr>
          <w:p w:rsidR="00C53F65" w:rsidRDefault="00C53F65" w:rsidP="00005076">
            <w:pPr>
              <w:widowControl w:val="0"/>
              <w:spacing w:after="0" w:line="240" w:lineRule="auto"/>
              <w:jc w:val="center"/>
              <w:rPr>
                <w:lang w:val="ru-RU"/>
              </w:rPr>
            </w:pPr>
            <w:r>
              <w:rPr>
                <w:rFonts w:eastAsia="Calibri"/>
                <w:lang w:val="ru-RU"/>
              </w:rPr>
              <w:t>1</w:t>
            </w:r>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rPr>
                <w:sz w:val="2"/>
                <w:szCs w:val="2"/>
                <w:lang w:val="ru-RU"/>
              </w:rPr>
            </w:pPr>
          </w:p>
        </w:tc>
      </w:tr>
      <w:tr w:rsidR="00C53F65" w:rsidTr="00005076">
        <w:tc>
          <w:tcPr>
            <w:tcW w:w="232" w:type="dxa"/>
            <w:tcBorders>
              <w:top w:val="nil"/>
              <w:left w:val="nil"/>
              <w:bottom w:val="nil"/>
              <w:right w:val="nil"/>
            </w:tcBorders>
          </w:tcPr>
          <w:p w:rsidR="00C53F65" w:rsidRDefault="00C53F65" w:rsidP="00005076">
            <w:pPr>
              <w:widowControl w:val="0"/>
              <w:spacing w:after="0" w:line="240" w:lineRule="auto"/>
              <w:rPr>
                <w:b/>
                <w:lang w:val="ru-RU"/>
              </w:rPr>
            </w:pPr>
          </w:p>
        </w:tc>
        <w:tc>
          <w:tcPr>
            <w:tcW w:w="8134" w:type="dxa"/>
            <w:gridSpan w:val="2"/>
            <w:tcBorders>
              <w:top w:val="single" w:sz="18" w:space="0" w:color="000000"/>
              <w:left w:val="nil"/>
              <w:bottom w:val="nil"/>
              <w:right w:val="single" w:sz="18" w:space="0" w:color="000000"/>
            </w:tcBorders>
          </w:tcPr>
          <w:p w:rsidR="00C53F65" w:rsidRDefault="00C53F65" w:rsidP="00005076">
            <w:pPr>
              <w:widowControl w:val="0"/>
              <w:spacing w:after="0" w:line="240" w:lineRule="auto"/>
              <w:rPr>
                <w:b/>
                <w:lang w:val="ru-RU"/>
              </w:rPr>
            </w:pPr>
            <w:r>
              <w:rPr>
                <w:rFonts w:eastAsia="Calibri"/>
                <w:b/>
                <w:lang w:val="ru-RU"/>
              </w:rPr>
              <w:t xml:space="preserve">Общий итог предметов и объявленной ценности </w:t>
            </w:r>
          </w:p>
        </w:tc>
        <w:tc>
          <w:tcPr>
            <w:tcW w:w="991" w:type="dxa"/>
            <w:tcBorders>
              <w:top w:val="single" w:sz="18" w:space="0" w:color="000000"/>
              <w:left w:val="single" w:sz="18" w:space="0" w:color="000000"/>
              <w:bottom w:val="single" w:sz="18" w:space="0" w:color="000000"/>
              <w:right w:val="single" w:sz="18" w:space="0" w:color="000000"/>
            </w:tcBorders>
          </w:tcPr>
          <w:p w:rsidR="00C53F65" w:rsidRDefault="00C53F65" w:rsidP="00005076">
            <w:pPr>
              <w:widowControl w:val="0"/>
              <w:spacing w:after="0" w:line="240" w:lineRule="auto"/>
              <w:jc w:val="center"/>
              <w:rPr>
                <w:lang w:val="ru-RU"/>
              </w:rPr>
            </w:pPr>
            <w:r>
              <w:rPr>
                <w:rFonts w:eastAsia="Calibri"/>
                <w:lang w:val="ru-RU"/>
              </w:rPr>
              <w:t>4</w:t>
            </w:r>
          </w:p>
        </w:tc>
        <w:tc>
          <w:tcPr>
            <w:tcW w:w="1277" w:type="dxa"/>
            <w:gridSpan w:val="2"/>
            <w:tcBorders>
              <w:top w:val="single" w:sz="18" w:space="0" w:color="000000"/>
              <w:left w:val="single" w:sz="18" w:space="0" w:color="000000"/>
              <w:bottom w:val="single" w:sz="18" w:space="0" w:color="000000"/>
              <w:right w:val="single" w:sz="18" w:space="0" w:color="000000"/>
            </w:tcBorders>
          </w:tcPr>
          <w:p w:rsidR="00C53F65" w:rsidRDefault="00C53F65" w:rsidP="00005076">
            <w:pPr>
              <w:widowControl w:val="0"/>
              <w:spacing w:after="0" w:line="240" w:lineRule="auto"/>
              <w:jc w:val="center"/>
              <w:rPr>
                <w:lang w:val="ru-RU"/>
              </w:rPr>
            </w:pPr>
            <w:r>
              <w:rPr>
                <w:rFonts w:eastAsia="Calibri"/>
                <w:lang w:val="ru-RU"/>
              </w:rPr>
              <w:t>4 рубля</w:t>
            </w:r>
          </w:p>
        </w:tc>
        <w:tc>
          <w:tcPr>
            <w:tcW w:w="280" w:type="dxa"/>
            <w:gridSpan w:val="2"/>
            <w:tcBorders>
              <w:top w:val="nil"/>
              <w:left w:val="single" w:sz="18" w:space="0" w:color="000000"/>
              <w:bottom w:val="nil"/>
              <w:right w:val="nil"/>
            </w:tcBorders>
          </w:tcPr>
          <w:p w:rsidR="00C53F65" w:rsidRDefault="00C53F65" w:rsidP="00005076">
            <w:pPr>
              <w:widowControl w:val="0"/>
              <w:spacing w:after="0" w:line="240" w:lineRule="auto"/>
              <w:rPr>
                <w:sz w:val="2"/>
                <w:szCs w:val="2"/>
                <w:lang w:val="ru-RU"/>
              </w:rPr>
            </w:pPr>
          </w:p>
        </w:tc>
      </w:tr>
      <w:tr w:rsidR="00C53F65" w:rsidTr="00005076">
        <w:tc>
          <w:tcPr>
            <w:tcW w:w="232" w:type="dxa"/>
            <w:tcBorders>
              <w:top w:val="nil"/>
              <w:left w:val="nil"/>
              <w:bottom w:val="nil"/>
              <w:right w:val="nil"/>
            </w:tcBorders>
          </w:tcPr>
          <w:p w:rsidR="00C53F65" w:rsidRDefault="00C53F65" w:rsidP="00005076">
            <w:pPr>
              <w:widowControl w:val="0"/>
              <w:spacing w:after="0" w:line="240" w:lineRule="auto"/>
              <w:rPr>
                <w:b/>
                <w:lang w:val="ru-RU"/>
              </w:rPr>
            </w:pPr>
          </w:p>
        </w:tc>
        <w:tc>
          <w:tcPr>
            <w:tcW w:w="8134" w:type="dxa"/>
            <w:gridSpan w:val="2"/>
            <w:tcBorders>
              <w:top w:val="nil"/>
              <w:left w:val="nil"/>
              <w:bottom w:val="nil"/>
              <w:right w:val="nil"/>
            </w:tcBorders>
          </w:tcPr>
          <w:p w:rsidR="00C53F65" w:rsidRDefault="00C53F65" w:rsidP="00005076">
            <w:pPr>
              <w:widowControl w:val="0"/>
              <w:spacing w:after="0" w:line="240" w:lineRule="auto"/>
              <w:rPr>
                <w:b/>
                <w:lang w:val="ru-RU"/>
              </w:rPr>
            </w:pPr>
          </w:p>
        </w:tc>
        <w:tc>
          <w:tcPr>
            <w:tcW w:w="991" w:type="dxa"/>
            <w:tcBorders>
              <w:top w:val="nil"/>
              <w:left w:val="nil"/>
              <w:bottom w:val="nil"/>
              <w:right w:val="nil"/>
            </w:tcBorders>
          </w:tcPr>
          <w:p w:rsidR="00C53F65" w:rsidRDefault="00C53F65" w:rsidP="00005076">
            <w:pPr>
              <w:widowControl w:val="0"/>
              <w:spacing w:after="0" w:line="240" w:lineRule="auto"/>
              <w:rPr>
                <w:lang w:val="ru-RU"/>
              </w:rPr>
            </w:pPr>
          </w:p>
        </w:tc>
        <w:tc>
          <w:tcPr>
            <w:tcW w:w="1101" w:type="dxa"/>
            <w:tcBorders>
              <w:left w:val="nil"/>
              <w:bottom w:val="nil"/>
              <w:right w:val="nil"/>
            </w:tcBorders>
          </w:tcPr>
          <w:p w:rsidR="00C53F65" w:rsidRDefault="00C53F65" w:rsidP="00005076">
            <w:pPr>
              <w:widowControl w:val="0"/>
              <w:spacing w:after="0" w:line="240" w:lineRule="auto"/>
              <w:rPr>
                <w:lang w:val="ru-RU"/>
              </w:rPr>
            </w:pPr>
            <w:r>
              <w:rPr>
                <w:rFonts w:eastAsia="Calibri"/>
                <w:sz w:val="16"/>
                <w:szCs w:val="16"/>
                <w:lang w:val="ru-RU"/>
              </w:rPr>
              <w:t>(цифрами)</w:t>
            </w:r>
          </w:p>
        </w:tc>
        <w:tc>
          <w:tcPr>
            <w:tcW w:w="236" w:type="dxa"/>
            <w:gridSpan w:val="2"/>
            <w:tcBorders>
              <w:top w:val="nil"/>
              <w:left w:val="nil"/>
              <w:bottom w:val="nil"/>
              <w:right w:val="nil"/>
            </w:tcBorders>
          </w:tcPr>
          <w:p w:rsidR="00C53F65" w:rsidRDefault="00C53F65" w:rsidP="00005076">
            <w:pPr>
              <w:widowControl w:val="0"/>
              <w:spacing w:after="0" w:line="240" w:lineRule="auto"/>
              <w:rPr>
                <w:sz w:val="2"/>
                <w:szCs w:val="2"/>
                <w:lang w:val="ru-RU"/>
              </w:rPr>
            </w:pPr>
          </w:p>
        </w:tc>
        <w:tc>
          <w:tcPr>
            <w:tcW w:w="220" w:type="dxa"/>
            <w:tcBorders>
              <w:top w:val="nil"/>
              <w:left w:val="nil"/>
              <w:bottom w:val="nil"/>
              <w:right w:val="nil"/>
            </w:tcBorders>
          </w:tcPr>
          <w:p w:rsidR="00C53F65" w:rsidRDefault="00C53F65" w:rsidP="00005076">
            <w:pPr>
              <w:widowControl w:val="0"/>
              <w:spacing w:after="0" w:line="240" w:lineRule="auto"/>
              <w:rPr>
                <w:rFonts w:ascii="Calibri" w:eastAsia="Calibri" w:hAnsi="Calibri"/>
              </w:rPr>
            </w:pPr>
          </w:p>
        </w:tc>
      </w:tr>
    </w:tbl>
    <w:p w:rsidR="00C53F65" w:rsidRDefault="00C53F65" w:rsidP="00C53F65">
      <w:pPr>
        <w:rPr>
          <w:lang w:val="ru-RU"/>
        </w:rPr>
      </w:pPr>
    </w:p>
    <w:tbl>
      <w:tblPr>
        <w:tblStyle w:val="a7"/>
        <w:tblW w:w="10671" w:type="dxa"/>
        <w:tblLayout w:type="fixed"/>
        <w:tblLook w:val="04A0" w:firstRow="1" w:lastRow="0" w:firstColumn="1" w:lastColumn="0" w:noHBand="0" w:noVBand="1"/>
      </w:tblPr>
      <w:tblGrid>
        <w:gridCol w:w="8500"/>
        <w:gridCol w:w="284"/>
        <w:gridCol w:w="1887"/>
      </w:tblGrid>
      <w:tr w:rsidR="00C53F65" w:rsidRPr="00C53F65" w:rsidTr="00005076">
        <w:tc>
          <w:tcPr>
            <w:tcW w:w="8500" w:type="dxa"/>
            <w:tcBorders>
              <w:top w:val="nil"/>
              <w:left w:val="nil"/>
              <w:right w:val="nil"/>
            </w:tcBorders>
          </w:tcPr>
          <w:p w:rsidR="00C53F65" w:rsidRDefault="00C53F65" w:rsidP="00005076">
            <w:pPr>
              <w:widowControl w:val="0"/>
              <w:spacing w:after="0" w:line="240" w:lineRule="auto"/>
              <w:rPr>
                <w:b/>
                <w:lang w:val="ru-RU"/>
              </w:rPr>
            </w:pPr>
            <w:r>
              <w:rPr>
                <w:rFonts w:eastAsia="Calibri"/>
                <w:b/>
                <w:lang w:val="ru-RU"/>
              </w:rPr>
              <w:t xml:space="preserve">Отправитель </w:t>
            </w:r>
          </w:p>
          <w:p w:rsidR="00C53F65" w:rsidRDefault="00C53F65" w:rsidP="00005076">
            <w:pPr>
              <w:widowControl w:val="0"/>
              <w:spacing w:after="0" w:line="240" w:lineRule="auto"/>
              <w:rPr>
                <w:sz w:val="16"/>
                <w:szCs w:val="16"/>
                <w:lang w:val="ru-RU"/>
              </w:rPr>
            </w:pPr>
            <w:r>
              <w:rPr>
                <w:rFonts w:eastAsia="Calibri"/>
                <w:color w:val="808080" w:themeColor="background1" w:themeShade="80"/>
                <w:sz w:val="16"/>
                <w:szCs w:val="16"/>
                <w:lang w:val="ru-RU"/>
              </w:rPr>
              <w:t>ФИО, наименование юридического лица</w:t>
            </w: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7" w:type="dxa"/>
            <w:vMerge w:val="restart"/>
          </w:tcPr>
          <w:p w:rsidR="00C53F65" w:rsidRDefault="00C53F65" w:rsidP="00005076">
            <w:pPr>
              <w:widowControl w:val="0"/>
              <w:spacing w:after="0" w:line="240" w:lineRule="auto"/>
              <w:rPr>
                <w:lang w:val="ru-RU"/>
              </w:rPr>
            </w:pPr>
          </w:p>
        </w:tc>
      </w:tr>
      <w:tr w:rsidR="00C53F65" w:rsidRPr="00C53F65" w:rsidTr="00005076">
        <w:tc>
          <w:tcPr>
            <w:tcW w:w="8500" w:type="dxa"/>
            <w:tcBorders>
              <w:left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7" w:type="dxa"/>
            <w:vMerge/>
          </w:tcPr>
          <w:p w:rsidR="00C53F65" w:rsidRDefault="00C53F65" w:rsidP="00005076">
            <w:pPr>
              <w:widowControl w:val="0"/>
              <w:spacing w:after="0" w:line="240" w:lineRule="auto"/>
              <w:rPr>
                <w:lang w:val="ru-RU"/>
              </w:rPr>
            </w:pPr>
          </w:p>
        </w:tc>
      </w:tr>
      <w:tr w:rsidR="00C53F65" w:rsidRPr="00C53F65" w:rsidTr="00005076">
        <w:tc>
          <w:tcPr>
            <w:tcW w:w="8500" w:type="dxa"/>
            <w:tcBorders>
              <w:left w:val="nil"/>
              <w:right w:val="nil"/>
            </w:tcBorders>
          </w:tcPr>
          <w:p w:rsidR="00C53F65" w:rsidRDefault="00C53F65" w:rsidP="00005076">
            <w:pPr>
              <w:widowControl w:val="0"/>
              <w:spacing w:after="0" w:line="240" w:lineRule="auto"/>
              <w:rPr>
                <w:bCs/>
                <w:sz w:val="18"/>
                <w:szCs w:val="18"/>
                <w:lang w:val="ru-RU"/>
              </w:rPr>
            </w:pPr>
            <w:r>
              <w:rPr>
                <w:rFonts w:eastAsia="Calibri"/>
                <w:bCs/>
                <w:sz w:val="18"/>
                <w:szCs w:val="18"/>
                <w:lang w:val="ru-RU"/>
              </w:rPr>
              <w:t>Главное управление Министерства юстиции Российской Федерации по Санкт-Петербургу</w:t>
            </w:r>
          </w:p>
          <w:p w:rsidR="00C53F65" w:rsidRDefault="00C53F65" w:rsidP="00005076">
            <w:pPr>
              <w:widowControl w:val="0"/>
              <w:spacing w:after="0" w:line="240" w:lineRule="auto"/>
              <w:rPr>
                <w:lang w:val="ru-RU"/>
              </w:rPr>
            </w:pPr>
            <w:r>
              <w:rPr>
                <w:rFonts w:eastAsia="Calibri"/>
                <w:bCs/>
                <w:sz w:val="18"/>
                <w:szCs w:val="18"/>
                <w:lang w:val="ru-RU"/>
              </w:rPr>
              <w:t>190121, Санкт-Петербург, Исаакиевская пл., д.11</w:t>
            </w: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7" w:type="dxa"/>
            <w:vMerge/>
          </w:tcPr>
          <w:p w:rsidR="00C53F65" w:rsidRDefault="00C53F65" w:rsidP="00005076">
            <w:pPr>
              <w:widowControl w:val="0"/>
              <w:spacing w:after="0" w:line="240" w:lineRule="auto"/>
              <w:rPr>
                <w:lang w:val="ru-RU"/>
              </w:rPr>
            </w:pPr>
          </w:p>
        </w:tc>
      </w:tr>
      <w:tr w:rsidR="00C53F65" w:rsidTr="00005076">
        <w:tc>
          <w:tcPr>
            <w:tcW w:w="8500" w:type="dxa"/>
            <w:tcBorders>
              <w:left w:val="nil"/>
              <w:bottom w:val="nil"/>
              <w:right w:val="nil"/>
            </w:tcBorders>
          </w:tcPr>
          <w:p w:rsidR="00C53F65" w:rsidRDefault="00C53F65" w:rsidP="00005076">
            <w:pPr>
              <w:widowControl w:val="0"/>
              <w:spacing w:after="0" w:line="240" w:lineRule="auto"/>
              <w:rPr>
                <w:bCs/>
                <w:sz w:val="18"/>
                <w:szCs w:val="18"/>
                <w:lang w:val="ru-RU"/>
              </w:rPr>
            </w:pPr>
          </w:p>
        </w:tc>
        <w:tc>
          <w:tcPr>
            <w:tcW w:w="284" w:type="dxa"/>
            <w:tcBorders>
              <w:top w:val="nil"/>
              <w:left w:val="nil"/>
              <w:bottom w:val="nil"/>
              <w:right w:val="nil"/>
            </w:tcBorders>
          </w:tcPr>
          <w:p w:rsidR="00C53F65" w:rsidRDefault="00C53F65" w:rsidP="00005076">
            <w:pPr>
              <w:widowControl w:val="0"/>
              <w:spacing w:after="0" w:line="240" w:lineRule="auto"/>
              <w:rPr>
                <w:lang w:val="ru-RU"/>
              </w:rPr>
            </w:pPr>
          </w:p>
        </w:tc>
        <w:tc>
          <w:tcPr>
            <w:tcW w:w="1887" w:type="dxa"/>
            <w:tcBorders>
              <w:left w:val="nil"/>
              <w:bottom w:val="nil"/>
              <w:right w:val="nil"/>
            </w:tcBorders>
          </w:tcPr>
          <w:p w:rsidR="00C53F65" w:rsidRDefault="00C53F65" w:rsidP="00005076">
            <w:pPr>
              <w:widowControl w:val="0"/>
              <w:spacing w:after="0" w:line="240" w:lineRule="auto"/>
              <w:jc w:val="center"/>
              <w:rPr>
                <w:sz w:val="16"/>
                <w:szCs w:val="16"/>
                <w:lang w:val="ru-RU"/>
              </w:rPr>
            </w:pPr>
            <w:r>
              <w:rPr>
                <w:rFonts w:eastAsia="Calibri"/>
                <w:sz w:val="16"/>
                <w:szCs w:val="16"/>
                <w:lang w:val="ru-RU"/>
              </w:rPr>
              <w:t>(подпись)</w:t>
            </w:r>
          </w:p>
        </w:tc>
      </w:tr>
    </w:tbl>
    <w:p w:rsidR="00C53F65" w:rsidRDefault="00C53F65" w:rsidP="00C53F65">
      <w:pPr>
        <w:rPr>
          <w:lang w:val="ru-RU"/>
        </w:rPr>
      </w:pPr>
    </w:p>
    <w:tbl>
      <w:tblPr>
        <w:tblStyle w:val="a7"/>
        <w:tblW w:w="10671" w:type="dxa"/>
        <w:tblLayout w:type="fixed"/>
        <w:tblLook w:val="04A0" w:firstRow="1" w:lastRow="0" w:firstColumn="1" w:lastColumn="0" w:noHBand="0" w:noVBand="1"/>
      </w:tblPr>
      <w:tblGrid>
        <w:gridCol w:w="1698"/>
        <w:gridCol w:w="1138"/>
        <w:gridCol w:w="2977"/>
        <w:gridCol w:w="2692"/>
        <w:gridCol w:w="284"/>
        <w:gridCol w:w="1882"/>
      </w:tblGrid>
      <w:tr w:rsidR="00C53F65" w:rsidTr="00005076">
        <w:tc>
          <w:tcPr>
            <w:tcW w:w="1697" w:type="dxa"/>
            <w:tcBorders>
              <w:top w:val="nil"/>
              <w:left w:val="nil"/>
              <w:bottom w:val="nil"/>
              <w:right w:val="nil"/>
            </w:tcBorders>
          </w:tcPr>
          <w:p w:rsidR="00C53F65" w:rsidRDefault="00C53F65" w:rsidP="00005076">
            <w:pPr>
              <w:widowControl w:val="0"/>
              <w:spacing w:after="0" w:line="240" w:lineRule="auto"/>
              <w:rPr>
                <w:b/>
                <w:lang w:val="ru-RU"/>
              </w:rPr>
            </w:pPr>
            <w:r>
              <w:rPr>
                <w:rFonts w:eastAsia="Calibri"/>
                <w:b/>
                <w:lang w:val="ru-RU"/>
              </w:rPr>
              <w:t>Проверил</w:t>
            </w:r>
          </w:p>
        </w:tc>
        <w:tc>
          <w:tcPr>
            <w:tcW w:w="6807" w:type="dxa"/>
            <w:gridSpan w:val="3"/>
            <w:tcBorders>
              <w:top w:val="nil"/>
              <w:left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bottom w:val="nil"/>
            </w:tcBorders>
          </w:tcPr>
          <w:p w:rsidR="00C53F65" w:rsidRDefault="00C53F65" w:rsidP="00005076">
            <w:pPr>
              <w:widowControl w:val="0"/>
              <w:spacing w:after="0" w:line="240" w:lineRule="auto"/>
              <w:rPr>
                <w:lang w:val="ru-RU"/>
              </w:rPr>
            </w:pPr>
          </w:p>
        </w:tc>
      </w:tr>
      <w:tr w:rsidR="00C53F65" w:rsidTr="00005076">
        <w:tc>
          <w:tcPr>
            <w:tcW w:w="8504" w:type="dxa"/>
            <w:gridSpan w:val="4"/>
            <w:tcBorders>
              <w:top w:val="nil"/>
              <w:left w:val="nil"/>
              <w:right w:val="nil"/>
            </w:tcBorders>
            <w:shd w:val="clear" w:color="auto" w:fill="auto"/>
          </w:tcPr>
          <w:p w:rsidR="00C53F65" w:rsidRDefault="00C53F65" w:rsidP="00005076">
            <w:pPr>
              <w:widowControl w:val="0"/>
              <w:spacing w:after="0" w:line="240" w:lineRule="auto"/>
              <w:rPr>
                <w:b/>
                <w:sz w:val="16"/>
                <w:szCs w:val="16"/>
                <w:lang w:val="ru-RU"/>
              </w:rPr>
            </w:pPr>
            <w:r>
              <w:rPr>
                <w:rFonts w:eastAsia="Calibri"/>
                <w:b/>
                <w:sz w:val="16"/>
                <w:szCs w:val="16"/>
                <w:lang w:val="ru-RU"/>
              </w:rPr>
              <w:t>ФИО почтового работника</w:t>
            </w: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rPr>
                <w:lang w:val="ru-RU"/>
              </w:rPr>
            </w:pPr>
          </w:p>
        </w:tc>
      </w:tr>
      <w:tr w:rsidR="00C53F65" w:rsidTr="00005076">
        <w:tc>
          <w:tcPr>
            <w:tcW w:w="8504" w:type="dxa"/>
            <w:gridSpan w:val="4"/>
            <w:tcBorders>
              <w:left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rPr>
                <w:lang w:val="ru-RU"/>
              </w:rPr>
            </w:pPr>
          </w:p>
        </w:tc>
      </w:tr>
      <w:tr w:rsidR="00C53F65" w:rsidTr="00005076">
        <w:tc>
          <w:tcPr>
            <w:tcW w:w="2835" w:type="dxa"/>
            <w:gridSpan w:val="2"/>
            <w:tcBorders>
              <w:left w:val="nil"/>
              <w:right w:val="nil"/>
            </w:tcBorders>
          </w:tcPr>
          <w:p w:rsidR="00C53F65" w:rsidRDefault="00C53F65" w:rsidP="00005076">
            <w:pPr>
              <w:widowControl w:val="0"/>
              <w:spacing w:after="0" w:line="240" w:lineRule="auto"/>
              <w:rPr>
                <w:b/>
                <w:sz w:val="16"/>
                <w:szCs w:val="16"/>
                <w:lang w:val="ru-RU"/>
              </w:rPr>
            </w:pPr>
            <w:r>
              <w:rPr>
                <w:rFonts w:eastAsia="Calibri"/>
                <w:b/>
                <w:sz w:val="16"/>
                <w:szCs w:val="16"/>
                <w:lang w:val="ru-RU"/>
              </w:rPr>
              <w:t>должность почтового работника</w:t>
            </w:r>
          </w:p>
        </w:tc>
        <w:tc>
          <w:tcPr>
            <w:tcW w:w="5669" w:type="dxa"/>
            <w:gridSpan w:val="2"/>
            <w:tcBorders>
              <w:left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rPr>
                <w:lang w:val="ru-RU"/>
              </w:rPr>
            </w:pPr>
          </w:p>
        </w:tc>
      </w:tr>
      <w:tr w:rsidR="00C53F65" w:rsidTr="00005076">
        <w:tc>
          <w:tcPr>
            <w:tcW w:w="8504" w:type="dxa"/>
            <w:gridSpan w:val="4"/>
            <w:tcBorders>
              <w:left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rPr>
                <w:lang w:val="ru-RU"/>
              </w:rPr>
            </w:pPr>
          </w:p>
        </w:tc>
      </w:tr>
      <w:tr w:rsidR="00C53F65" w:rsidTr="00005076">
        <w:tc>
          <w:tcPr>
            <w:tcW w:w="5812" w:type="dxa"/>
            <w:gridSpan w:val="3"/>
            <w:tcBorders>
              <w:left w:val="nil"/>
              <w:bottom w:val="nil"/>
              <w:right w:val="nil"/>
            </w:tcBorders>
          </w:tcPr>
          <w:p w:rsidR="00C53F65" w:rsidRDefault="00C53F65" w:rsidP="00005076">
            <w:pPr>
              <w:widowControl w:val="0"/>
              <w:spacing w:after="0" w:line="240" w:lineRule="auto"/>
              <w:rPr>
                <w:lang w:val="ru-RU"/>
              </w:rPr>
            </w:pPr>
          </w:p>
        </w:tc>
        <w:tc>
          <w:tcPr>
            <w:tcW w:w="2692" w:type="dxa"/>
            <w:tcBorders>
              <w:left w:val="nil"/>
              <w:bottom w:val="nil"/>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rPr>
                <w:lang w:val="ru-RU"/>
              </w:rPr>
            </w:pPr>
          </w:p>
        </w:tc>
      </w:tr>
      <w:tr w:rsidR="00C53F65" w:rsidTr="00005076">
        <w:tc>
          <w:tcPr>
            <w:tcW w:w="5812" w:type="dxa"/>
            <w:gridSpan w:val="3"/>
            <w:tcBorders>
              <w:top w:val="nil"/>
              <w:left w:val="nil"/>
              <w:bottom w:val="nil"/>
              <w:right w:val="nil"/>
            </w:tcBorders>
          </w:tcPr>
          <w:p w:rsidR="00C53F65" w:rsidRDefault="00C53F65" w:rsidP="00005076">
            <w:pPr>
              <w:widowControl w:val="0"/>
              <w:spacing w:after="0" w:line="240" w:lineRule="auto"/>
              <w:rPr>
                <w:lang w:val="ru-RU"/>
              </w:rPr>
            </w:pPr>
          </w:p>
        </w:tc>
        <w:tc>
          <w:tcPr>
            <w:tcW w:w="2692" w:type="dxa"/>
            <w:tcBorders>
              <w:top w:val="nil"/>
              <w:left w:val="nil"/>
              <w:bottom w:val="single" w:sz="24" w:space="0" w:color="000000"/>
              <w:right w:val="nil"/>
            </w:tcBorders>
          </w:tcPr>
          <w:p w:rsidR="00C53F65" w:rsidRDefault="00C53F65" w:rsidP="00005076">
            <w:pPr>
              <w:widowControl w:val="0"/>
              <w:spacing w:after="0" w:line="240" w:lineRule="auto"/>
              <w:rPr>
                <w:lang w:val="ru-RU"/>
              </w:rPr>
            </w:pP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bottom w:val="nil"/>
            </w:tcBorders>
          </w:tcPr>
          <w:p w:rsidR="00C53F65" w:rsidRDefault="00C53F65" w:rsidP="00005076">
            <w:pPr>
              <w:widowControl w:val="0"/>
              <w:spacing w:after="0" w:line="240" w:lineRule="auto"/>
              <w:jc w:val="center"/>
              <w:rPr>
                <w:color w:val="808080" w:themeColor="background1" w:themeShade="80"/>
                <w:sz w:val="16"/>
                <w:szCs w:val="16"/>
                <w:lang w:val="ru-RU"/>
              </w:rPr>
            </w:pPr>
            <w:r>
              <w:rPr>
                <w:rFonts w:eastAsia="Calibri"/>
                <w:color w:val="808080" w:themeColor="background1" w:themeShade="80"/>
                <w:sz w:val="16"/>
                <w:szCs w:val="16"/>
                <w:lang w:val="ru-RU"/>
              </w:rPr>
              <w:t>Оттиск КПШ</w:t>
            </w:r>
          </w:p>
        </w:tc>
      </w:tr>
      <w:tr w:rsidR="00C53F65" w:rsidTr="00005076">
        <w:tc>
          <w:tcPr>
            <w:tcW w:w="5812" w:type="dxa"/>
            <w:gridSpan w:val="3"/>
            <w:tcBorders>
              <w:top w:val="nil"/>
              <w:left w:val="nil"/>
              <w:bottom w:val="nil"/>
              <w:right w:val="nil"/>
            </w:tcBorders>
          </w:tcPr>
          <w:p w:rsidR="00C53F65" w:rsidRDefault="00C53F65" w:rsidP="00005076">
            <w:pPr>
              <w:widowControl w:val="0"/>
              <w:spacing w:after="0" w:line="240" w:lineRule="auto"/>
              <w:rPr>
                <w:lang w:val="ru-RU"/>
              </w:rPr>
            </w:pPr>
          </w:p>
        </w:tc>
        <w:tc>
          <w:tcPr>
            <w:tcW w:w="2692" w:type="dxa"/>
            <w:tcBorders>
              <w:top w:val="single" w:sz="24" w:space="0" w:color="000000"/>
              <w:left w:val="nil"/>
              <w:bottom w:val="nil"/>
              <w:right w:val="nil"/>
            </w:tcBorders>
          </w:tcPr>
          <w:p w:rsidR="00C53F65" w:rsidRDefault="00C53F65" w:rsidP="00005076">
            <w:pPr>
              <w:widowControl w:val="0"/>
              <w:spacing w:after="0" w:line="240" w:lineRule="auto"/>
              <w:jc w:val="center"/>
              <w:rPr>
                <w:sz w:val="18"/>
                <w:szCs w:val="18"/>
                <w:lang w:val="ru-RU"/>
              </w:rPr>
            </w:pPr>
            <w:r>
              <w:rPr>
                <w:rFonts w:eastAsia="Calibri"/>
                <w:sz w:val="18"/>
                <w:szCs w:val="18"/>
                <w:lang w:val="ru-RU"/>
              </w:rPr>
              <w:t>(подпись почтового работника)</w:t>
            </w:r>
          </w:p>
        </w:tc>
        <w:tc>
          <w:tcPr>
            <w:tcW w:w="284" w:type="dxa"/>
            <w:tcBorders>
              <w:top w:val="nil"/>
              <w:left w:val="nil"/>
              <w:bottom w:val="nil"/>
            </w:tcBorders>
          </w:tcPr>
          <w:p w:rsidR="00C53F65" w:rsidRDefault="00C53F65" w:rsidP="00005076">
            <w:pPr>
              <w:widowControl w:val="0"/>
              <w:spacing w:after="0" w:line="240" w:lineRule="auto"/>
              <w:rPr>
                <w:lang w:val="ru-RU"/>
              </w:rPr>
            </w:pPr>
          </w:p>
        </w:tc>
        <w:tc>
          <w:tcPr>
            <w:tcW w:w="1882" w:type="dxa"/>
            <w:tcBorders>
              <w:top w:val="nil"/>
            </w:tcBorders>
          </w:tcPr>
          <w:p w:rsidR="00C53F65" w:rsidRDefault="00C53F65" w:rsidP="00005076">
            <w:pPr>
              <w:widowControl w:val="0"/>
              <w:spacing w:after="0" w:line="240" w:lineRule="auto"/>
              <w:jc w:val="center"/>
              <w:rPr>
                <w:color w:val="808080" w:themeColor="background1" w:themeShade="80"/>
                <w:sz w:val="16"/>
                <w:szCs w:val="16"/>
                <w:lang w:val="ru-RU"/>
              </w:rPr>
            </w:pPr>
            <w:r>
              <w:rPr>
                <w:rFonts w:eastAsia="Calibri"/>
                <w:color w:val="808080" w:themeColor="background1" w:themeShade="80"/>
                <w:sz w:val="16"/>
                <w:szCs w:val="16"/>
                <w:lang w:val="ru-RU"/>
              </w:rPr>
              <w:t>ОПС места приёма</w:t>
            </w:r>
          </w:p>
        </w:tc>
      </w:tr>
    </w:tbl>
    <w:p w:rsidR="00C53F65" w:rsidRDefault="00C53F65" w:rsidP="00C53F65">
      <w:pPr>
        <w:rPr>
          <w:lang w:val="ru-RU"/>
        </w:rPr>
      </w:pPr>
    </w:p>
    <w:p w:rsidR="00965DD7" w:rsidRDefault="00965DD7">
      <w:bookmarkStart w:id="0" w:name="_GoBack"/>
      <w:bookmarkEnd w:id="0"/>
    </w:p>
    <w:sectPr w:rsidR="00965DD7">
      <w:footerReference w:type="default" r:id="rId14"/>
      <w:pgSz w:w="12240" w:h="15840"/>
      <w:pgMar w:top="1134" w:right="850" w:bottom="1134" w:left="709" w:header="0"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6004"/>
      <w:docPartObj>
        <w:docPartGallery w:val="Page Numbers (Top of Page)"/>
        <w:docPartUnique/>
      </w:docPartObj>
    </w:sdtPr>
    <w:sdtEndPr/>
    <w:sdtContent>
      <w:p w:rsidR="001043CB" w:rsidRDefault="00C53F65">
        <w:pPr>
          <w:pStyle w:val="a5"/>
          <w:jc w:val="center"/>
        </w:pPr>
        <w:r>
          <w:rPr>
            <w:lang w:val="ru-RU"/>
          </w:rPr>
          <w:t>Лист</w:t>
        </w:r>
        <w:r>
          <w:t xml:space="preserve"> </w:t>
        </w:r>
        <w:r>
          <w:rPr>
            <w:bCs/>
            <w:sz w:val="24"/>
            <w:szCs w:val="24"/>
          </w:rPr>
          <w:fldChar w:fldCharType="begin"/>
        </w:r>
        <w:r>
          <w:rPr>
            <w:bCs/>
            <w:sz w:val="24"/>
            <w:szCs w:val="24"/>
          </w:rPr>
          <w:instrText>PAGE</w:instrText>
        </w:r>
        <w:r>
          <w:rPr>
            <w:bCs/>
            <w:sz w:val="24"/>
            <w:szCs w:val="24"/>
          </w:rPr>
          <w:fldChar w:fldCharType="separate"/>
        </w:r>
        <w:r>
          <w:rPr>
            <w:bCs/>
            <w:noProof/>
            <w:sz w:val="24"/>
            <w:szCs w:val="24"/>
          </w:rPr>
          <w:t>1</w:t>
        </w:r>
        <w:r>
          <w:rPr>
            <w:bCs/>
            <w:sz w:val="24"/>
            <w:szCs w:val="24"/>
          </w:rPr>
          <w:fldChar w:fldCharType="end"/>
        </w:r>
        <w:r>
          <w:t xml:space="preserve"> </w:t>
        </w:r>
        <w:r>
          <w:rPr>
            <w:lang w:val="ru-RU"/>
          </w:rPr>
          <w:t>из</w:t>
        </w:r>
        <w:r>
          <w:t xml:space="preserve"> </w:t>
        </w:r>
        <w:r>
          <w:rPr>
            <w:bCs/>
            <w:sz w:val="24"/>
            <w:szCs w:val="24"/>
          </w:rPr>
          <w:fldChar w:fldCharType="begin"/>
        </w:r>
        <w:r>
          <w:rPr>
            <w:bCs/>
            <w:sz w:val="24"/>
            <w:szCs w:val="24"/>
          </w:rPr>
          <w:instrText>NUMPAGES</w:instrText>
        </w:r>
        <w:r>
          <w:rPr>
            <w:bCs/>
            <w:sz w:val="24"/>
            <w:szCs w:val="24"/>
          </w:rPr>
          <w:fldChar w:fldCharType="separate"/>
        </w:r>
        <w:r>
          <w:rPr>
            <w:bCs/>
            <w:noProof/>
            <w:sz w:val="24"/>
            <w:szCs w:val="24"/>
          </w:rPr>
          <w:t>8</w:t>
        </w:r>
        <w:r>
          <w:rPr>
            <w:bCs/>
            <w:sz w:val="24"/>
            <w:szCs w:val="24"/>
          </w:rPr>
          <w:fldChar w:fldCharType="end"/>
        </w:r>
      </w:p>
    </w:sdtContent>
  </w:sdt>
  <w:p w:rsidR="001043CB" w:rsidRDefault="00C53F6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3156"/>
    <w:multiLevelType w:val="multilevel"/>
    <w:tmpl w:val="E0140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88C78D9"/>
    <w:multiLevelType w:val="multilevel"/>
    <w:tmpl w:val="E1D423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DB60E8D"/>
    <w:multiLevelType w:val="multilevel"/>
    <w:tmpl w:val="D5268AE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5E232EF1"/>
    <w:multiLevelType w:val="multilevel"/>
    <w:tmpl w:val="011E187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D6"/>
    <w:rsid w:val="00965DD7"/>
    <w:rsid w:val="00C53F65"/>
    <w:rsid w:val="00DC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65"/>
    <w:pPr>
      <w:suppressAutoHyphens/>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F65"/>
    <w:pPr>
      <w:ind w:left="720"/>
      <w:contextualSpacing/>
    </w:pPr>
  </w:style>
  <w:style w:type="paragraph" w:styleId="a4">
    <w:name w:val="Normal (Web)"/>
    <w:basedOn w:val="a"/>
    <w:uiPriority w:val="99"/>
    <w:unhideWhenUsed/>
    <w:qFormat/>
    <w:rsid w:val="00C53F65"/>
    <w:pPr>
      <w:spacing w:beforeAutospacing="1"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C53F6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53F65"/>
    <w:rPr>
      <w:lang w:val="en-US"/>
    </w:rPr>
  </w:style>
  <w:style w:type="table" w:styleId="a7">
    <w:name w:val="Table Grid"/>
    <w:basedOn w:val="a1"/>
    <w:uiPriority w:val="39"/>
    <w:rsid w:val="00C53F65"/>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65"/>
    <w:pPr>
      <w:suppressAutoHyphens/>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F65"/>
    <w:pPr>
      <w:ind w:left="720"/>
      <w:contextualSpacing/>
    </w:pPr>
  </w:style>
  <w:style w:type="paragraph" w:styleId="a4">
    <w:name w:val="Normal (Web)"/>
    <w:basedOn w:val="a"/>
    <w:uiPriority w:val="99"/>
    <w:unhideWhenUsed/>
    <w:qFormat/>
    <w:rsid w:val="00C53F65"/>
    <w:pPr>
      <w:spacing w:beforeAutospacing="1"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C53F6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53F65"/>
    <w:rPr>
      <w:lang w:val="en-US"/>
    </w:rPr>
  </w:style>
  <w:style w:type="table" w:styleId="a7">
    <w:name w:val="Table Grid"/>
    <w:basedOn w:val="a1"/>
    <w:uiPriority w:val="39"/>
    <w:rsid w:val="00C53F65"/>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05.11.2021" TargetMode="External"/><Relationship Id="rId13" Type="http://schemas.openxmlformats.org/officeDocument/2006/relationships/hyperlink" Target="http://78.rospotrebnadzor.ru/c/document_library/get_file?uuid=90e5b892-321a-45a8-b768-abbdbfbad1a8&amp;groupId=935484" TargetMode="Externa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12" Type="http://schemas.openxmlformats.org/officeDocument/2006/relationships/hyperlink" Target="https://www.gov.spb.ru/static/writable/ckeditor/uploads/2021/10/18/57/76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spb.ru/law/d?nd=564437085&amp;point=mark=000000D2EBS19G00002O60000NM60A1LRLO2863LMO3V3D99S1M2I4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67000&amp;dst=100138&amp;field=134&amp;date=07.11.2021" TargetMode="External"/><Relationship Id="rId4" Type="http://schemas.openxmlformats.org/officeDocument/2006/relationships/settings" Target="settings.xml"/><Relationship Id="rId9" Type="http://schemas.openxmlformats.org/officeDocument/2006/relationships/hyperlink" Target="https://login.consultant.ru/link/?req=doc&amp;base=LAW&amp;n=382536&amp;dst=101993&amp;field=134&amp;date=07.11.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6251</Words>
  <Characters>35637</Characters>
  <Application>Microsoft Office Word</Application>
  <DocSecurity>0</DocSecurity>
  <Lines>296</Lines>
  <Paragraphs>83</Paragraphs>
  <ScaleCrop>false</ScaleCrop>
  <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2021-11-14T12:06:00Z</dcterms:created>
  <dcterms:modified xsi:type="dcterms:W3CDTF">2021-11-14T12:07:00Z</dcterms:modified>
</cp:coreProperties>
</file>